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DC7057" w:rsidP="009D324C">
            <w:pPr>
              <w:ind w:left="-108" w:firstLine="108"/>
              <w:jc w:val="center"/>
            </w:pPr>
            <w:bookmarkStart w:id="0" w:name="ТекстовоеПоле7"/>
            <w:r>
              <w:t>1</w:t>
            </w:r>
            <w:r w:rsidR="009D324C">
              <w:t>9</w:t>
            </w:r>
            <w:r w:rsidR="00797060">
              <w:t>.</w:t>
            </w:r>
            <w:r w:rsidR="009C667D">
              <w:t>1</w:t>
            </w:r>
            <w:r w:rsidR="00031AB9">
              <w:t>1</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9C667D" w:rsidP="00867F87">
            <w:pPr>
              <w:jc w:val="both"/>
            </w:pPr>
            <w:r>
              <w:t>7</w:t>
            </w:r>
            <w:r w:rsidR="00867F87">
              <w:t>9</w:t>
            </w:r>
            <w:r w:rsidR="00E3186C">
              <w:t>1</w:t>
            </w:r>
            <w:r w:rsidR="00797060">
              <w:t>-р</w:t>
            </w:r>
          </w:p>
        </w:tc>
      </w:tr>
    </w:tbl>
    <w:p w:rsidR="00A826DF" w:rsidRPr="00D303B2" w:rsidRDefault="00A826DF" w:rsidP="00D303B2">
      <w:pPr>
        <w:jc w:val="both"/>
        <w:rPr>
          <w:sz w:val="26"/>
          <w:szCs w:val="26"/>
        </w:rPr>
      </w:pPr>
    </w:p>
    <w:tbl>
      <w:tblPr>
        <w:tblW w:w="14383" w:type="dxa"/>
        <w:tblLook w:val="04A0"/>
      </w:tblPr>
      <w:tblGrid>
        <w:gridCol w:w="9464"/>
        <w:gridCol w:w="4919"/>
      </w:tblGrid>
      <w:tr w:rsidR="00E3186C" w:rsidRPr="00E3186C" w:rsidTr="00333306">
        <w:tc>
          <w:tcPr>
            <w:tcW w:w="9464" w:type="dxa"/>
            <w:hideMark/>
          </w:tcPr>
          <w:p w:rsidR="00E3186C" w:rsidRPr="00E3186C" w:rsidRDefault="00E3186C" w:rsidP="00E3186C">
            <w:pPr>
              <w:widowControl w:val="0"/>
              <w:autoSpaceDE w:val="0"/>
              <w:autoSpaceDN w:val="0"/>
              <w:ind w:right="4145"/>
              <w:jc w:val="both"/>
              <w:rPr>
                <w:rFonts w:ascii="Calibri" w:hAnsi="Calibri" w:cs="Calibri"/>
                <w:bCs/>
                <w:sz w:val="26"/>
                <w:szCs w:val="20"/>
                <w:lang w:eastAsia="en-US"/>
              </w:rPr>
            </w:pPr>
            <w:r w:rsidRPr="00E3186C">
              <w:rPr>
                <w:sz w:val="26"/>
                <w:szCs w:val="26"/>
                <w:lang w:eastAsia="en-US"/>
              </w:rPr>
              <w:t xml:space="preserve">О внесении изменений в распоряжение Администрации МО "Городской округ "Город Нарьян-Мар" от 31.08.2018 № 760-р "Об утверждении стандартов осуществления внутреннего муниципального финансового контроля" </w:t>
            </w:r>
          </w:p>
        </w:tc>
        <w:tc>
          <w:tcPr>
            <w:tcW w:w="4919" w:type="dxa"/>
          </w:tcPr>
          <w:p w:rsidR="00E3186C" w:rsidRPr="00E3186C" w:rsidRDefault="00E3186C" w:rsidP="00E3186C">
            <w:pPr>
              <w:jc w:val="center"/>
              <w:rPr>
                <w:b/>
                <w:sz w:val="28"/>
                <w:lang w:eastAsia="en-US"/>
              </w:rPr>
            </w:pPr>
          </w:p>
        </w:tc>
      </w:tr>
    </w:tbl>
    <w:p w:rsidR="00E3186C" w:rsidRPr="00E3186C" w:rsidRDefault="00E3186C" w:rsidP="00E3186C">
      <w:pPr>
        <w:widowControl w:val="0"/>
        <w:autoSpaceDE w:val="0"/>
        <w:autoSpaceDN w:val="0"/>
        <w:jc w:val="both"/>
        <w:rPr>
          <w:sz w:val="26"/>
          <w:szCs w:val="26"/>
        </w:rPr>
      </w:pPr>
    </w:p>
    <w:p w:rsidR="00E3186C" w:rsidRPr="00E3186C" w:rsidRDefault="00E3186C" w:rsidP="00E3186C">
      <w:pPr>
        <w:widowControl w:val="0"/>
        <w:autoSpaceDE w:val="0"/>
        <w:autoSpaceDN w:val="0"/>
        <w:jc w:val="both"/>
        <w:rPr>
          <w:sz w:val="26"/>
          <w:szCs w:val="26"/>
        </w:rPr>
      </w:pPr>
    </w:p>
    <w:p w:rsidR="00E3186C" w:rsidRPr="00E3186C" w:rsidRDefault="00E3186C" w:rsidP="00E3186C">
      <w:pPr>
        <w:widowControl w:val="0"/>
        <w:autoSpaceDE w:val="0"/>
        <w:autoSpaceDN w:val="0"/>
        <w:jc w:val="both"/>
        <w:rPr>
          <w:sz w:val="26"/>
          <w:szCs w:val="26"/>
        </w:rPr>
      </w:pPr>
    </w:p>
    <w:p w:rsidR="00E3186C" w:rsidRPr="00E3186C" w:rsidRDefault="00E3186C" w:rsidP="00E3186C">
      <w:pPr>
        <w:widowControl w:val="0"/>
        <w:autoSpaceDE w:val="0"/>
        <w:autoSpaceDN w:val="0"/>
        <w:ind w:firstLine="709"/>
        <w:jc w:val="both"/>
        <w:rPr>
          <w:rFonts w:ascii="Calibri" w:hAnsi="Calibri" w:cs="Calibri"/>
          <w:b/>
          <w:sz w:val="26"/>
          <w:szCs w:val="26"/>
        </w:rPr>
      </w:pPr>
      <w:r w:rsidRPr="00E3186C">
        <w:rPr>
          <w:sz w:val="26"/>
          <w:szCs w:val="26"/>
        </w:rPr>
        <w:t xml:space="preserve">Руководствуясь статьей 269.2 Бюджетного кодекса Российской Федерации, </w:t>
      </w:r>
      <w:r w:rsidRPr="00E3186C">
        <w:rPr>
          <w:sz w:val="26"/>
          <w:szCs w:val="26"/>
        </w:rPr>
        <w:br/>
        <w:t xml:space="preserve">в целях реализации полномочий по внутреннему муниципальному финансовому контролю: </w:t>
      </w:r>
    </w:p>
    <w:p w:rsidR="00E3186C" w:rsidRPr="00E3186C" w:rsidRDefault="00E3186C" w:rsidP="00E3186C">
      <w:pPr>
        <w:widowControl w:val="0"/>
        <w:autoSpaceDE w:val="0"/>
        <w:autoSpaceDN w:val="0"/>
        <w:adjustRightInd w:val="0"/>
        <w:ind w:firstLine="709"/>
        <w:jc w:val="center"/>
        <w:rPr>
          <w:b/>
          <w:sz w:val="26"/>
          <w:szCs w:val="26"/>
        </w:rPr>
      </w:pPr>
    </w:p>
    <w:p w:rsidR="00E3186C" w:rsidRPr="00E3186C" w:rsidRDefault="00E3186C" w:rsidP="00E3186C">
      <w:pPr>
        <w:widowControl w:val="0"/>
        <w:tabs>
          <w:tab w:val="left" w:pos="1134"/>
        </w:tabs>
        <w:autoSpaceDE w:val="0"/>
        <w:autoSpaceDN w:val="0"/>
        <w:ind w:firstLine="709"/>
        <w:jc w:val="both"/>
        <w:rPr>
          <w:sz w:val="26"/>
          <w:szCs w:val="26"/>
        </w:rPr>
      </w:pPr>
      <w:r w:rsidRPr="00E3186C">
        <w:rPr>
          <w:sz w:val="26"/>
          <w:szCs w:val="26"/>
        </w:rPr>
        <w:t>1.</w:t>
      </w:r>
      <w:r w:rsidRPr="00E3186C">
        <w:rPr>
          <w:sz w:val="26"/>
          <w:szCs w:val="26"/>
        </w:rPr>
        <w:tab/>
        <w:t xml:space="preserve">Внести в распоряжение Администрации МО "Городской округ "Город Нарьян-Мар" от 31.08.2018 № 760-р </w:t>
      </w:r>
      <w:r w:rsidRPr="00E3186C">
        <w:rPr>
          <w:sz w:val="26"/>
          <w:szCs w:val="26"/>
          <w:lang w:eastAsia="en-US"/>
        </w:rPr>
        <w:t xml:space="preserve">"Об утверждении стандартов осуществления внутреннего муниципального финансового контроля" (далее – распоряжение) </w:t>
      </w:r>
      <w:r w:rsidRPr="00E3186C">
        <w:rPr>
          <w:sz w:val="26"/>
          <w:szCs w:val="26"/>
        </w:rPr>
        <w:t>следующие изменения:</w:t>
      </w:r>
    </w:p>
    <w:p w:rsidR="00E3186C" w:rsidRPr="00E3186C" w:rsidRDefault="00E3186C" w:rsidP="00E3186C">
      <w:pPr>
        <w:tabs>
          <w:tab w:val="left" w:pos="1276"/>
        </w:tabs>
        <w:autoSpaceDE w:val="0"/>
        <w:autoSpaceDN w:val="0"/>
        <w:adjustRightInd w:val="0"/>
        <w:ind w:firstLine="709"/>
        <w:jc w:val="both"/>
        <w:rPr>
          <w:rFonts w:eastAsia="Calibri"/>
          <w:sz w:val="26"/>
          <w:szCs w:val="26"/>
          <w:lang w:eastAsia="en-US"/>
        </w:rPr>
      </w:pPr>
      <w:r w:rsidRPr="00E3186C">
        <w:rPr>
          <w:sz w:val="26"/>
          <w:szCs w:val="26"/>
        </w:rPr>
        <w:t>1.1.</w:t>
      </w:r>
      <w:r w:rsidRPr="00E3186C">
        <w:rPr>
          <w:sz w:val="26"/>
          <w:szCs w:val="26"/>
        </w:rPr>
        <w:tab/>
      </w:r>
      <w:r w:rsidRPr="00E3186C">
        <w:rPr>
          <w:rFonts w:eastAsia="Calibri"/>
          <w:sz w:val="26"/>
          <w:szCs w:val="26"/>
          <w:lang w:eastAsia="en-US"/>
        </w:rPr>
        <w:t xml:space="preserve">Пункт 1 Приложения 1 к </w:t>
      </w:r>
      <w:r w:rsidRPr="00E3186C">
        <w:rPr>
          <w:sz w:val="26"/>
          <w:szCs w:val="26"/>
        </w:rPr>
        <w:t xml:space="preserve">распоряжению </w:t>
      </w:r>
      <w:r w:rsidRPr="00E3186C">
        <w:rPr>
          <w:rFonts w:eastAsia="Calibri"/>
          <w:sz w:val="26"/>
          <w:szCs w:val="26"/>
          <w:lang w:eastAsia="en-US"/>
        </w:rPr>
        <w:t>изложить в следующей редакции:</w:t>
      </w:r>
    </w:p>
    <w:p w:rsidR="00E3186C" w:rsidRPr="00E3186C" w:rsidRDefault="00E3186C" w:rsidP="00E3186C">
      <w:pPr>
        <w:autoSpaceDE w:val="0"/>
        <w:autoSpaceDN w:val="0"/>
        <w:adjustRightInd w:val="0"/>
        <w:ind w:firstLine="709"/>
        <w:jc w:val="both"/>
        <w:rPr>
          <w:rFonts w:eastAsia="Calibri"/>
          <w:sz w:val="26"/>
          <w:szCs w:val="26"/>
          <w:lang w:eastAsia="en-US"/>
        </w:rPr>
      </w:pPr>
      <w:r w:rsidRPr="00E3186C">
        <w:rPr>
          <w:rFonts w:eastAsia="Calibri"/>
          <w:sz w:val="26"/>
          <w:szCs w:val="26"/>
          <w:lang w:eastAsia="en-US"/>
        </w:rPr>
        <w:t xml:space="preserve">"1. Целью настоящего Стандарта является соблюдение общих принципов, правил и процедур организации контрольной деятельности отдела внутреннего муниципального финансового контроля Администрации МО "Городской округ "Город Нарьян-Мар" (далее – Отдел) в рамках осуществления полномочий </w:t>
      </w:r>
      <w:r w:rsidRPr="00E3186C">
        <w:rPr>
          <w:rFonts w:eastAsia="Calibri"/>
          <w:sz w:val="26"/>
          <w:szCs w:val="26"/>
          <w:lang w:eastAsia="en-US"/>
        </w:rPr>
        <w:br/>
        <w:t>по внутреннему муниципальному финансовому контролю:</w:t>
      </w:r>
    </w:p>
    <w:p w:rsidR="00E3186C" w:rsidRPr="00E3186C" w:rsidRDefault="00E3186C" w:rsidP="00E3186C">
      <w:pPr>
        <w:autoSpaceDE w:val="0"/>
        <w:autoSpaceDN w:val="0"/>
        <w:adjustRightInd w:val="0"/>
        <w:ind w:firstLine="709"/>
        <w:jc w:val="both"/>
        <w:rPr>
          <w:rFonts w:eastAsia="Calibri"/>
          <w:sz w:val="26"/>
          <w:szCs w:val="26"/>
          <w:lang w:eastAsia="en-US"/>
        </w:rPr>
      </w:pPr>
      <w:r w:rsidRPr="00E3186C">
        <w:rPr>
          <w:rFonts w:eastAsia="Calibri"/>
          <w:sz w:val="26"/>
          <w:szCs w:val="26"/>
          <w:lang w:eastAsia="en-US"/>
        </w:rPr>
        <w:t xml:space="preserve">за соблюдением положений правовых актов, регулирующих бюджетные правоотношения, в том числе устанавливающих требования к бухгалтерскому учету </w:t>
      </w:r>
      <w:r>
        <w:rPr>
          <w:rFonts w:eastAsia="Calibri"/>
          <w:sz w:val="26"/>
          <w:szCs w:val="26"/>
          <w:lang w:eastAsia="en-US"/>
        </w:rPr>
        <w:br/>
      </w:r>
      <w:r w:rsidRPr="00E3186C">
        <w:rPr>
          <w:rFonts w:eastAsia="Calibri"/>
          <w:sz w:val="26"/>
          <w:szCs w:val="26"/>
          <w:lang w:eastAsia="en-US"/>
        </w:rPr>
        <w:t>и составлению и представлению бухгалтерской (финансовой) отчетности муниципальных учреждений;</w:t>
      </w:r>
    </w:p>
    <w:p w:rsidR="00E3186C" w:rsidRPr="00E3186C" w:rsidRDefault="00E3186C" w:rsidP="00E3186C">
      <w:pPr>
        <w:autoSpaceDE w:val="0"/>
        <w:autoSpaceDN w:val="0"/>
        <w:adjustRightInd w:val="0"/>
        <w:ind w:firstLine="709"/>
        <w:jc w:val="both"/>
        <w:rPr>
          <w:rFonts w:eastAsia="Calibri"/>
          <w:sz w:val="26"/>
          <w:szCs w:val="26"/>
          <w:lang w:eastAsia="en-US"/>
        </w:rPr>
      </w:pPr>
      <w:r w:rsidRPr="00E3186C">
        <w:rPr>
          <w:rFonts w:eastAsia="Calibri"/>
          <w:sz w:val="26"/>
          <w:szCs w:val="26"/>
          <w:lang w:eastAsia="en-US"/>
        </w:rPr>
        <w:t xml:space="preserve">за соблюдением положений правовых актов, обусловливающих публичные нормативные обязательства и обязательства по иным выплатам физическим лицам </w:t>
      </w:r>
      <w:r>
        <w:rPr>
          <w:rFonts w:eastAsia="Calibri"/>
          <w:sz w:val="26"/>
          <w:szCs w:val="26"/>
          <w:lang w:eastAsia="en-US"/>
        </w:rPr>
        <w:br/>
      </w:r>
      <w:r w:rsidRPr="00E3186C">
        <w:rPr>
          <w:rFonts w:eastAsia="Calibri"/>
          <w:sz w:val="26"/>
          <w:szCs w:val="26"/>
          <w:lang w:eastAsia="en-US"/>
        </w:rPr>
        <w:t>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E3186C" w:rsidRPr="00E3186C" w:rsidRDefault="00E3186C" w:rsidP="00E3186C">
      <w:pPr>
        <w:autoSpaceDE w:val="0"/>
        <w:autoSpaceDN w:val="0"/>
        <w:adjustRightInd w:val="0"/>
        <w:ind w:firstLine="709"/>
        <w:jc w:val="both"/>
        <w:rPr>
          <w:rFonts w:eastAsia="Calibri"/>
          <w:sz w:val="26"/>
          <w:szCs w:val="26"/>
          <w:lang w:eastAsia="en-US"/>
        </w:rPr>
      </w:pPr>
      <w:r w:rsidRPr="00E3186C">
        <w:rPr>
          <w:rFonts w:eastAsia="Calibri"/>
          <w:sz w:val="26"/>
          <w:szCs w:val="26"/>
          <w:lang w:eastAsia="en-US"/>
        </w:rPr>
        <w:t xml:space="preserve">за соблюдением условий договоров (соглашений), заключенных в целях исполнения договоров (соглашений) о предоставлении средств из бюджета, а также </w:t>
      </w:r>
      <w:r>
        <w:rPr>
          <w:rFonts w:eastAsia="Calibri"/>
          <w:sz w:val="26"/>
          <w:szCs w:val="26"/>
          <w:lang w:eastAsia="en-US"/>
        </w:rPr>
        <w:br/>
      </w:r>
      <w:r w:rsidRPr="00E3186C">
        <w:rPr>
          <w:rFonts w:eastAsia="Calibri"/>
          <w:sz w:val="26"/>
          <w:szCs w:val="26"/>
          <w:lang w:eastAsia="en-US"/>
        </w:rPr>
        <w:t>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3186C" w:rsidRPr="00E3186C" w:rsidRDefault="00E3186C" w:rsidP="00E3186C">
      <w:pPr>
        <w:autoSpaceDE w:val="0"/>
        <w:autoSpaceDN w:val="0"/>
        <w:adjustRightInd w:val="0"/>
        <w:ind w:firstLine="709"/>
        <w:jc w:val="both"/>
        <w:rPr>
          <w:rFonts w:eastAsia="Calibri"/>
          <w:sz w:val="26"/>
          <w:szCs w:val="26"/>
          <w:lang w:eastAsia="en-US"/>
        </w:rPr>
      </w:pPr>
      <w:r w:rsidRPr="00E3186C">
        <w:rPr>
          <w:rFonts w:eastAsia="Calibri"/>
          <w:sz w:val="26"/>
          <w:szCs w:val="26"/>
          <w:lang w:eastAsia="en-US"/>
        </w:rPr>
        <w:t xml:space="preserve">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E3186C">
        <w:rPr>
          <w:rFonts w:eastAsia="Calibri"/>
          <w:sz w:val="26"/>
          <w:szCs w:val="26"/>
          <w:lang w:eastAsia="en-US"/>
        </w:rPr>
        <w:t>значений показателей результативности предоставления средств</w:t>
      </w:r>
      <w:proofErr w:type="gramEnd"/>
      <w:r w:rsidRPr="00E3186C">
        <w:rPr>
          <w:rFonts w:eastAsia="Calibri"/>
          <w:sz w:val="26"/>
          <w:szCs w:val="26"/>
          <w:lang w:eastAsia="en-US"/>
        </w:rPr>
        <w:t xml:space="preserve"> из бюджета;</w:t>
      </w:r>
    </w:p>
    <w:p w:rsidR="00E3186C" w:rsidRPr="00E3186C" w:rsidRDefault="00E3186C" w:rsidP="00E3186C">
      <w:pPr>
        <w:autoSpaceDE w:val="0"/>
        <w:autoSpaceDN w:val="0"/>
        <w:adjustRightInd w:val="0"/>
        <w:ind w:firstLine="709"/>
        <w:jc w:val="both"/>
        <w:rPr>
          <w:rFonts w:eastAsia="Calibri"/>
          <w:sz w:val="26"/>
          <w:szCs w:val="26"/>
          <w:lang w:eastAsia="en-US"/>
        </w:rPr>
      </w:pPr>
      <w:r w:rsidRPr="00E3186C">
        <w:rPr>
          <w:rFonts w:eastAsia="Calibri"/>
          <w:sz w:val="26"/>
          <w:szCs w:val="26"/>
          <w:lang w:eastAsia="en-US"/>
        </w:rPr>
        <w:t xml:space="preserve">в сфере закупок, </w:t>
      </w:r>
      <w:proofErr w:type="gramStart"/>
      <w:r w:rsidRPr="00E3186C">
        <w:rPr>
          <w:rFonts w:eastAsia="Calibri"/>
          <w:sz w:val="26"/>
          <w:szCs w:val="26"/>
          <w:lang w:eastAsia="en-US"/>
        </w:rPr>
        <w:t>предусмотренному</w:t>
      </w:r>
      <w:proofErr w:type="gramEnd"/>
      <w:r w:rsidRPr="00E3186C">
        <w:rPr>
          <w:rFonts w:eastAsia="Calibri"/>
          <w:sz w:val="26"/>
          <w:szCs w:val="26"/>
          <w:lang w:eastAsia="en-US"/>
        </w:rPr>
        <w:t xml:space="preserve"> законодательством Российской Федерации о контрактной системе в сфере закупок товаров, работ, услуг для обеспечения госуда</w:t>
      </w:r>
      <w:r>
        <w:rPr>
          <w:rFonts w:eastAsia="Calibri"/>
          <w:sz w:val="26"/>
          <w:szCs w:val="26"/>
          <w:lang w:eastAsia="en-US"/>
        </w:rPr>
        <w:t>рственных и муниципальных нужд.</w:t>
      </w:r>
      <w:r w:rsidRPr="00E3186C">
        <w:rPr>
          <w:rFonts w:eastAsia="Calibri"/>
          <w:sz w:val="26"/>
          <w:szCs w:val="26"/>
          <w:lang w:eastAsia="en-US"/>
        </w:rPr>
        <w:t>".</w:t>
      </w:r>
    </w:p>
    <w:p w:rsidR="00E3186C" w:rsidRPr="00E3186C" w:rsidRDefault="00E3186C" w:rsidP="00E3186C">
      <w:pPr>
        <w:tabs>
          <w:tab w:val="left" w:pos="1276"/>
        </w:tabs>
        <w:autoSpaceDE w:val="0"/>
        <w:autoSpaceDN w:val="0"/>
        <w:adjustRightInd w:val="0"/>
        <w:ind w:firstLine="709"/>
        <w:jc w:val="both"/>
        <w:rPr>
          <w:rFonts w:eastAsia="Calibri"/>
          <w:sz w:val="26"/>
          <w:szCs w:val="26"/>
          <w:lang w:eastAsia="en-US"/>
        </w:rPr>
      </w:pPr>
      <w:r w:rsidRPr="00E3186C">
        <w:rPr>
          <w:rFonts w:eastAsia="Calibri"/>
          <w:sz w:val="26"/>
          <w:szCs w:val="26"/>
          <w:lang w:eastAsia="en-US"/>
        </w:rPr>
        <w:t>1.2.</w:t>
      </w:r>
      <w:r w:rsidRPr="00E3186C">
        <w:rPr>
          <w:rFonts w:eastAsia="Calibri"/>
          <w:sz w:val="26"/>
          <w:szCs w:val="26"/>
          <w:lang w:eastAsia="en-US"/>
        </w:rPr>
        <w:tab/>
        <w:t xml:space="preserve">Пункт 20 Приложения 1 к </w:t>
      </w:r>
      <w:r w:rsidRPr="00E3186C">
        <w:rPr>
          <w:sz w:val="26"/>
          <w:szCs w:val="26"/>
        </w:rPr>
        <w:t xml:space="preserve">распоряжению </w:t>
      </w:r>
      <w:r w:rsidRPr="00E3186C">
        <w:rPr>
          <w:rFonts w:eastAsia="Calibri"/>
          <w:sz w:val="26"/>
          <w:szCs w:val="26"/>
          <w:lang w:eastAsia="en-US"/>
        </w:rPr>
        <w:t>изложить в следующей редакции:</w:t>
      </w:r>
    </w:p>
    <w:p w:rsidR="00E3186C" w:rsidRPr="00E3186C" w:rsidRDefault="00E3186C" w:rsidP="00E3186C">
      <w:pPr>
        <w:autoSpaceDE w:val="0"/>
        <w:autoSpaceDN w:val="0"/>
        <w:adjustRightInd w:val="0"/>
        <w:ind w:firstLine="709"/>
        <w:jc w:val="both"/>
        <w:rPr>
          <w:rFonts w:eastAsia="Calibri"/>
          <w:sz w:val="26"/>
          <w:szCs w:val="26"/>
          <w:lang w:eastAsia="en-US"/>
        </w:rPr>
      </w:pPr>
      <w:r w:rsidRPr="00E3186C">
        <w:rPr>
          <w:rFonts w:eastAsia="Calibri"/>
          <w:sz w:val="26"/>
          <w:szCs w:val="26"/>
          <w:lang w:eastAsia="en-US"/>
        </w:rPr>
        <w:t>"20. В рамках деятельности по контролю должностные лица Отдела:</w:t>
      </w:r>
    </w:p>
    <w:p w:rsidR="00E3186C" w:rsidRPr="00E3186C" w:rsidRDefault="00E3186C" w:rsidP="00E3186C">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r w:rsidRPr="00E3186C">
        <w:rPr>
          <w:rFonts w:eastAsia="Calibri"/>
          <w:sz w:val="26"/>
          <w:szCs w:val="26"/>
          <w:lang w:eastAsia="en-US"/>
        </w:rPr>
        <w:t>Проводят предусмотренные Бюджетным кодексом Российской Федерации проверки, ревизии, обследования (далее – контрольные мероприятия);</w:t>
      </w:r>
    </w:p>
    <w:p w:rsidR="00E3186C" w:rsidRPr="00E3186C" w:rsidRDefault="00E3186C" w:rsidP="00E3186C">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2)</w:t>
      </w:r>
      <w:r>
        <w:rPr>
          <w:rFonts w:eastAsia="Calibri"/>
          <w:sz w:val="26"/>
          <w:szCs w:val="26"/>
          <w:lang w:eastAsia="en-US"/>
        </w:rPr>
        <w:tab/>
      </w:r>
      <w:r w:rsidRPr="00E3186C">
        <w:rPr>
          <w:rFonts w:eastAsia="Calibri"/>
          <w:sz w:val="26"/>
          <w:szCs w:val="26"/>
          <w:lang w:eastAsia="en-US"/>
        </w:rPr>
        <w:t>Направляют объектам контроля предусмотренные Бюджетным кодексом Российской Федерации акты, заключения, представления и предписания;</w:t>
      </w:r>
    </w:p>
    <w:p w:rsidR="00E3186C" w:rsidRPr="00E3186C" w:rsidRDefault="00E3186C" w:rsidP="00E3186C">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3)</w:t>
      </w:r>
      <w:r>
        <w:rPr>
          <w:rFonts w:eastAsia="Calibri"/>
          <w:sz w:val="26"/>
          <w:szCs w:val="26"/>
          <w:lang w:eastAsia="en-US"/>
        </w:rPr>
        <w:tab/>
      </w:r>
      <w:r w:rsidRPr="00E3186C">
        <w:rPr>
          <w:rFonts w:eastAsia="Calibri"/>
          <w:sz w:val="26"/>
          <w:szCs w:val="26"/>
          <w:lang w:eastAsia="en-US"/>
        </w:rPr>
        <w:t>Направляют финансовым органам (органам управления государственными внебюджетными фондами) уведомления о применении бюджетных мер принуждения;</w:t>
      </w:r>
    </w:p>
    <w:p w:rsidR="00E3186C" w:rsidRPr="00E3186C" w:rsidRDefault="00E3186C" w:rsidP="00E3186C">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4)</w:t>
      </w:r>
      <w:r>
        <w:rPr>
          <w:rFonts w:eastAsia="Calibri"/>
          <w:sz w:val="26"/>
          <w:szCs w:val="26"/>
          <w:lang w:eastAsia="en-US"/>
        </w:rPr>
        <w:tab/>
      </w:r>
      <w:r w:rsidRPr="00E3186C">
        <w:rPr>
          <w:rFonts w:eastAsia="Calibri"/>
          <w:sz w:val="26"/>
          <w:szCs w:val="26"/>
          <w:lang w:eastAsia="en-US"/>
        </w:rPr>
        <w:t xml:space="preserve">Осуществляют производство по делам об административных правонарушениях в порядке, установленном законодательством </w:t>
      </w:r>
      <w:r>
        <w:rPr>
          <w:rFonts w:eastAsia="Calibri"/>
          <w:sz w:val="26"/>
          <w:szCs w:val="26"/>
          <w:lang w:eastAsia="en-US"/>
        </w:rPr>
        <w:br/>
      </w:r>
      <w:r w:rsidRPr="00E3186C">
        <w:rPr>
          <w:rFonts w:eastAsia="Calibri"/>
          <w:sz w:val="26"/>
          <w:szCs w:val="26"/>
          <w:lang w:eastAsia="en-US"/>
        </w:rPr>
        <w:t>об административных правонарушениях;</w:t>
      </w:r>
    </w:p>
    <w:p w:rsidR="00E3186C" w:rsidRPr="00E3186C" w:rsidRDefault="00E3186C" w:rsidP="00E3186C">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5)</w:t>
      </w:r>
      <w:r>
        <w:rPr>
          <w:rFonts w:eastAsia="Calibri"/>
          <w:sz w:val="26"/>
          <w:szCs w:val="26"/>
          <w:lang w:eastAsia="en-US"/>
        </w:rPr>
        <w:tab/>
      </w:r>
      <w:r w:rsidRPr="00E3186C">
        <w:rPr>
          <w:rFonts w:eastAsia="Calibri"/>
          <w:sz w:val="26"/>
          <w:szCs w:val="26"/>
          <w:lang w:eastAsia="en-US"/>
        </w:rPr>
        <w:t xml:space="preserve">Назначают (организуют) проведение экспертиз, необходимых </w:t>
      </w:r>
      <w:r>
        <w:rPr>
          <w:rFonts w:eastAsia="Calibri"/>
          <w:sz w:val="26"/>
          <w:szCs w:val="26"/>
          <w:lang w:eastAsia="en-US"/>
        </w:rPr>
        <w:br/>
      </w:r>
      <w:r w:rsidRPr="00E3186C">
        <w:rPr>
          <w:rFonts w:eastAsia="Calibri"/>
          <w:sz w:val="26"/>
          <w:szCs w:val="26"/>
          <w:lang w:eastAsia="en-US"/>
        </w:rPr>
        <w:t xml:space="preserve">для </w:t>
      </w:r>
      <w:bookmarkStart w:id="1" w:name="_GoBack"/>
      <w:bookmarkEnd w:id="1"/>
      <w:r w:rsidRPr="00E3186C">
        <w:rPr>
          <w:rFonts w:eastAsia="Calibri"/>
          <w:sz w:val="26"/>
          <w:szCs w:val="26"/>
          <w:lang w:eastAsia="en-US"/>
        </w:rPr>
        <w:t>проведения проверок, ревизий и обследований;</w:t>
      </w:r>
    </w:p>
    <w:p w:rsidR="00E3186C" w:rsidRPr="00E3186C" w:rsidRDefault="00E3186C" w:rsidP="00E3186C">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6)</w:t>
      </w:r>
      <w:r>
        <w:rPr>
          <w:rFonts w:eastAsia="Calibri"/>
          <w:sz w:val="26"/>
          <w:szCs w:val="26"/>
          <w:lang w:eastAsia="en-US"/>
        </w:rPr>
        <w:tab/>
      </w:r>
      <w:r w:rsidRPr="00E3186C">
        <w:rPr>
          <w:rFonts w:eastAsia="Calibri"/>
          <w:sz w:val="26"/>
          <w:szCs w:val="26"/>
          <w:lang w:eastAsia="en-US"/>
        </w:rPr>
        <w:t>Получают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3186C" w:rsidRPr="00E3186C" w:rsidRDefault="00E3186C" w:rsidP="00E3186C">
      <w:pPr>
        <w:tabs>
          <w:tab w:val="left" w:pos="1134"/>
        </w:tabs>
        <w:autoSpaceDE w:val="0"/>
        <w:autoSpaceDN w:val="0"/>
        <w:adjustRightInd w:val="0"/>
        <w:ind w:firstLine="709"/>
        <w:jc w:val="both"/>
        <w:rPr>
          <w:rFonts w:eastAsia="Calibri"/>
          <w:sz w:val="26"/>
          <w:szCs w:val="26"/>
          <w:lang w:eastAsia="en-US"/>
        </w:rPr>
      </w:pPr>
      <w:r>
        <w:rPr>
          <w:rFonts w:eastAsia="Calibri"/>
          <w:sz w:val="26"/>
          <w:szCs w:val="26"/>
          <w:lang w:eastAsia="en-US"/>
        </w:rPr>
        <w:t>7)</w:t>
      </w:r>
      <w:r>
        <w:rPr>
          <w:rFonts w:eastAsia="Calibri"/>
          <w:sz w:val="26"/>
          <w:szCs w:val="26"/>
          <w:lang w:eastAsia="en-US"/>
        </w:rPr>
        <w:tab/>
      </w:r>
      <w:r w:rsidRPr="00E3186C">
        <w:rPr>
          <w:rFonts w:eastAsia="Calibri"/>
          <w:sz w:val="26"/>
          <w:szCs w:val="26"/>
          <w:lang w:eastAsia="en-US"/>
        </w:rPr>
        <w:t xml:space="preserve">Направляют в суд иски о признании осуществленных закупок товаров, работ, услуг для обеспечения муниципальных нужд </w:t>
      </w:r>
      <w:proofErr w:type="gramStart"/>
      <w:r w:rsidRPr="00E3186C">
        <w:rPr>
          <w:rFonts w:eastAsia="Calibri"/>
          <w:sz w:val="26"/>
          <w:szCs w:val="26"/>
          <w:lang w:eastAsia="en-US"/>
        </w:rPr>
        <w:t>недействительными</w:t>
      </w:r>
      <w:proofErr w:type="gramEnd"/>
      <w:r w:rsidRPr="00E3186C">
        <w:rPr>
          <w:rFonts w:eastAsia="Calibri"/>
          <w:sz w:val="26"/>
          <w:szCs w:val="26"/>
          <w:lang w:eastAsia="en-US"/>
        </w:rPr>
        <w:t xml:space="preserve"> </w:t>
      </w:r>
      <w:r w:rsidRPr="00E3186C">
        <w:rPr>
          <w:rFonts w:eastAsia="Calibri"/>
          <w:sz w:val="26"/>
          <w:szCs w:val="26"/>
          <w:lang w:eastAsia="en-US"/>
        </w:rPr>
        <w:br/>
        <w:t xml:space="preserve">в соответствии с Гражданским </w:t>
      </w:r>
      <w:hyperlink r:id="rId9" w:history="1">
        <w:r w:rsidRPr="00E3186C">
          <w:rPr>
            <w:rFonts w:eastAsia="Calibri"/>
            <w:sz w:val="26"/>
            <w:szCs w:val="26"/>
            <w:lang w:eastAsia="en-US"/>
          </w:rPr>
          <w:t>кодексом</w:t>
        </w:r>
      </w:hyperlink>
      <w:r>
        <w:rPr>
          <w:rFonts w:eastAsia="Calibri"/>
          <w:sz w:val="26"/>
          <w:szCs w:val="26"/>
          <w:lang w:eastAsia="en-US"/>
        </w:rPr>
        <w:t xml:space="preserve"> Российской Федерации.</w:t>
      </w:r>
      <w:r w:rsidRPr="00E3186C">
        <w:rPr>
          <w:rFonts w:eastAsia="Calibri"/>
          <w:sz w:val="26"/>
          <w:szCs w:val="26"/>
          <w:lang w:eastAsia="en-US"/>
        </w:rPr>
        <w:t>".</w:t>
      </w:r>
    </w:p>
    <w:p w:rsidR="00E3186C" w:rsidRPr="00E3186C" w:rsidRDefault="00E3186C" w:rsidP="00E3186C">
      <w:pPr>
        <w:tabs>
          <w:tab w:val="left" w:pos="1134"/>
        </w:tabs>
        <w:autoSpaceDE w:val="0"/>
        <w:autoSpaceDN w:val="0"/>
        <w:adjustRightInd w:val="0"/>
        <w:ind w:firstLine="709"/>
        <w:jc w:val="both"/>
        <w:outlineLvl w:val="0"/>
        <w:rPr>
          <w:sz w:val="26"/>
          <w:szCs w:val="26"/>
        </w:rPr>
      </w:pPr>
      <w:r w:rsidRPr="00E3186C">
        <w:rPr>
          <w:sz w:val="26"/>
          <w:szCs w:val="26"/>
        </w:rPr>
        <w:t>2.</w:t>
      </w:r>
      <w:r w:rsidRPr="00E3186C">
        <w:rPr>
          <w:sz w:val="26"/>
          <w:szCs w:val="26"/>
        </w:rPr>
        <w:tab/>
        <w:t>Настоящее распоряжение вступает в силу со дня его официального опубликования, за исключением абзаца 7 пункта 1.1 и абзаца 9 пункта 1.2 настоящего распоряжения, которые вводятся в действие с 01.01.2020.</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A3" w:rsidRDefault="004318A3" w:rsidP="0035168A">
      <w:r>
        <w:separator/>
      </w:r>
    </w:p>
  </w:endnote>
  <w:endnote w:type="continuationSeparator" w:id="0">
    <w:p w:rsidR="004318A3" w:rsidRDefault="004318A3"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A3" w:rsidRDefault="004318A3" w:rsidP="0035168A">
      <w:r>
        <w:separator/>
      </w:r>
    </w:p>
  </w:footnote>
  <w:footnote w:type="continuationSeparator" w:id="0">
    <w:p w:rsidR="004318A3" w:rsidRDefault="004318A3"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8411F4">
        <w:pPr>
          <w:pStyle w:val="a3"/>
          <w:jc w:val="center"/>
        </w:pPr>
        <w:fldSimple w:instr=" PAGE   \* MERGEFORMAT ">
          <w:r w:rsidR="00E3186C">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265"/>
    <w:rsid w:val="00331551"/>
    <w:rsid w:val="00331891"/>
    <w:rsid w:val="00332386"/>
    <w:rsid w:val="003323F9"/>
    <w:rsid w:val="00332667"/>
    <w:rsid w:val="00332BB0"/>
    <w:rsid w:val="00332C93"/>
    <w:rsid w:val="00332DDC"/>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86C"/>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D265FE5DB8D9A2B124DAF46A198AD3CA8063B7693A2BBCA6930E6E6F42112737645BC31F6429DD9B92840ED0E6A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FE73F-D429-4E86-A0D4-F474AA03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2019-11-19T12:53:00Z</dcterms:created>
  <dcterms:modified xsi:type="dcterms:W3CDTF">2019-11-19T12:53:00Z</dcterms:modified>
</cp:coreProperties>
</file>