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PT Astra Serif" w:hAnsi="PT Astra Serif" w:cs="PT Astra Serif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jc w:val="center"/>
        <w:rPr>
          <w:rFonts w:ascii="PT Astra Serif" w:hAnsi="PT Astra Serif" w:cs="PT Astra Serif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-464819</wp:posOffset>
                </wp:positionV>
                <wp:extent cx="463550" cy="571500"/>
                <wp:effectExtent l="0" t="0" r="0" b="0"/>
                <wp:wrapTopAndBottom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5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752;o:allowoverlap:true;o:allowincell:true;mso-position-horizontal-relative:text;margin-left:225.95pt;mso-position-horizontal:absolute;mso-position-vertical-relative:text;margin-top:-36.60pt;mso-position-vertical:absolute;width:36.50pt;height:45.00pt;mso-wrap-distance-left:9.00pt;mso-wrap-distance-top:0.00pt;mso-wrap-distance-right:9.00pt;mso-wrap-distance-bottom:0.00pt;" stroked="f">
                <v:path textboxrect="0,0,0,0"/>
                <w10:wrap type="topAndBottom"/>
                <v:imagedata r:id="rId9" o:title=""/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Администрация муниципального образования</w:t>
      </w:r>
      <w:r>
        <w:rPr>
          <w:rFonts w:ascii="PT Astra Serif" w:hAnsi="PT Astra Serif" w:eastAsia="PT Astra Serif" w:cs="PT Astra Serif"/>
          <w:b/>
          <w:sz w:val="26"/>
          <w:szCs w:val="26"/>
        </w:rPr>
        <w:br/>
        <w:t xml:space="preserve">"Городской округ "Город Нарьян-Мар"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jc w:val="center"/>
        <w:rPr>
          <w:rFonts w:ascii="PT Astra Serif" w:hAnsi="PT Astra Serif" w:cs="PT Astra Serif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eastAsia="PT Astra Serif" w:cs="PT Astra Serif"/>
          <w:b/>
          <w:sz w:val="32"/>
          <w:szCs w:val="20"/>
        </w:rPr>
        <w:t xml:space="preserve">ПОСТАНОВЛЕНИЕ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rPr>
          <w:rFonts w:ascii="PT Astra Serif" w:hAnsi="PT Astra Serif" w:cs="PT Astra Serif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eastAsia="PT Astra Serif" w:cs="PT Astra Serif"/>
          <w:sz w:val="20"/>
          <w:szCs w:val="20"/>
        </w:rPr>
        <w:t xml:space="preserve">__________________ № _________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rPr>
          <w:rFonts w:ascii="PT Astra Serif" w:hAnsi="PT Astra Serif" w:cs="PT Astra Serif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bCs/>
                <w:sz w:val="26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bCs/>
                <w:sz w:val="26"/>
              </w:rPr>
            </w:r>
            <w:r>
              <w:rPr>
                <w:rFonts w:ascii="PT Astra Serif" w:hAnsi="PT Astra Serif" w:cs="PT Astra Serif"/>
                <w:bCs/>
                <w:sz w:val="26"/>
              </w:rPr>
            </w:r>
          </w:p>
        </w:tc>
      </w:tr>
    </w:tbl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6"/>
          <w:szCs w:val="26"/>
          <w:highlight w:val="white"/>
        </w:rPr>
        <w:t xml:space="preserve">В соответствии с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Ф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 </w:t>
      </w:r>
      <w:hyperlink r:id="rId10" w:tooltip="https://login.consultant.ru/link/?req=doc&amp;base=LAW&amp;n=523235&amp;dst=100093" w:history="1">
        <w:r>
          <w:rPr>
            <w:rFonts w:ascii="PT Astra Serif" w:hAnsi="PT Astra Serif" w:cs="PT Astra Serif"/>
            <w:color w:val="000000" w:themeColor="text1"/>
            <w:sz w:val="26"/>
            <w:szCs w:val="26"/>
          </w:rPr>
          <w:t xml:space="preserve">статьей 12</w:t>
        </w:r>
      </w:hyperlink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 Федерального закона от 27.07.2010 № 210-ФЗ "Об организации предоставления государственных и муниципальных услуг", Федеральным законом от 28.12.2009 № 381-ФЗ "Об основах государственного регулирования торговой деятельности в Российской Федерации"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, постановлением Администрации муниципального образования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Городской округ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Город Нарьян-Мар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 от 04.07.2024 № 937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"Об утверждении Порядка организации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 ярмарок на территории муниципального образования "Городской округ "Город Нарьян-Мар" и продажи товаров (выполнения работ, оказание услуг) на них", </w:t>
      </w:r>
      <w:r>
        <w:rPr>
          <w:rFonts w:ascii="PT Astra Serif" w:hAnsi="PT Astra Serif" w:cs="PT Astra Serif"/>
          <w:color w:val="000000" w:themeColor="text1"/>
          <w:sz w:val="26"/>
          <w:szCs w:val="26"/>
          <w:highlight w:val="white"/>
        </w:rPr>
        <w:t xml:space="preserve">Порядком разработки и утверждения административных регламентов предоставления муниципальных услуг Администрацией муниципального образования "Городской округ "Город Нарьян-Мар", утвержденным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постановлением Администрации муниципального образования "Городской округ "Город Нарьян-Мар" от 22.07.2022 № 903,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 О С Т А Н О В Л Я Е Т: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8"/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Утвердить Административный </w:t>
      </w:r>
      <w:r>
        <w:rPr>
          <w:rFonts w:ascii="PT Astra Serif" w:hAnsi="PT Astra Serif" w:cs="PT Astra Serif"/>
          <w:sz w:val="26"/>
          <w:szCs w:val="26"/>
        </w:rPr>
        <w:t xml:space="preserve">регламент предоставления муниципальной услуги "Выдача разрешения на право организации ярмарки" согласно Приложению.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898"/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Разместить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настоящее постановление на официальном сайте Администрации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Городской округ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Город Нарьян-Мар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 </w:t>
      </w:r>
      <w:r>
        <w:rPr>
          <w:rFonts w:ascii="PT Astra Serif" w:hAnsi="PT Astra Serif" w:eastAsia="PT Astra Serif" w:cs="PT Astra Serif"/>
          <w:sz w:val="26"/>
        </w:rPr>
        <w:t xml:space="preserve">информационно телекоммуникационной сети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sz w:val="26"/>
        </w:rPr>
        <w:t xml:space="preserve">Интернет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"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3.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Настоящее постановление вступает в силу с 01.01.2027 и подлежит  официальному опубликованию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.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 </w:t>
      </w:r>
      <w:r>
        <w:rPr>
          <w:rFonts w:ascii="PT Astra Serif" w:hAnsi="PT Astra Serif" w:cs="PT Astra Serif"/>
          <w:sz w:val="26"/>
          <w:szCs w:val="26"/>
          <w:highlight w:val="white"/>
        </w:rPr>
      </w:r>
      <w:r>
        <w:rPr>
          <w:rFonts w:ascii="PT Astra Serif" w:hAnsi="PT Astra Serif" w:cs="PT Astra Serif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8"/>
        <w:gridCol w:w="488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9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/>
                <w:bCs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</w:rPr>
              <w:t xml:space="preserve">Глава города Нарьян-Мара </w:t>
            </w:r>
            <w:r>
              <w:rPr>
                <w:rFonts w:ascii="PT Astra Serif" w:hAnsi="PT Astra Serif" w:cs="PT Astra Serif"/>
                <w:b/>
                <w:bCs/>
                <w:sz w:val="26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5" w:type="dxa"/>
            <w:textDirection w:val="lrTb"/>
            <w:noWrap w:val="false"/>
          </w:tcPr>
          <w:p>
            <w:pPr>
              <w:ind w:right="-2"/>
              <w:jc w:val="right"/>
              <w:rPr>
                <w:rFonts w:ascii="PT Astra Serif" w:hAnsi="PT Astra Serif" w:cs="PT Astra Serif"/>
                <w:b/>
                <w:bCs/>
                <w:sz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</w:rPr>
              <w:t xml:space="preserve">О.О.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</w:rPr>
              <w:t xml:space="preserve">Белак</w:t>
            </w:r>
            <w:r>
              <w:rPr>
                <w:rFonts w:ascii="PT Astra Serif" w:hAnsi="PT Astra Serif" w:cs="PT Astra Serif"/>
                <w:b/>
                <w:bCs/>
                <w:sz w:val="26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</w:rPr>
            </w:r>
          </w:p>
        </w:tc>
      </w:tr>
    </w:tbl>
    <w:p>
      <w:pP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br w:type="page" w:clear="all"/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</w:p>
    <w:p>
      <w:pPr>
        <w:jc w:val="right"/>
        <w:spacing w:after="0" w:line="240" w:lineRule="auto"/>
        <w:shd w:val="clear" w:color="ffffff" w:fill="ffffff"/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УТВЕРЖДЁН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</w:p>
    <w:p>
      <w:pPr>
        <w:jc w:val="right"/>
        <w:spacing w:after="0" w:line="240" w:lineRule="auto"/>
        <w:shd w:val="clear" w:color="ffffff" w:fill="ffffff"/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постановлением Администрации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муниципального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</w:r>
    </w:p>
    <w:p>
      <w:pPr>
        <w:jc w:val="right"/>
        <w:spacing w:after="0" w:line="240" w:lineRule="auto"/>
        <w:shd w:val="clear" w:color="ffffff" w:fill="ffffff"/>
        <w:rPr>
          <w:rFonts w:ascii="PT Astra Serif" w:hAnsi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образования "Городской округ "Город Нарьян-Мар"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</w:p>
    <w:p>
      <w:pPr>
        <w:jc w:val="right"/>
        <w:spacing w:after="0" w:line="240" w:lineRule="auto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от ___ № ____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</w:p>
    <w:p>
      <w:pPr>
        <w:ind w:right="286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АДМИНИСТРАТИВНЫЙ РЕГЛАМЕНТ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ПРЕДОСТАВЛЕНИЯ МУНИЦИПАЛЬНОЙ УСЛУГИ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</w:r>
    </w:p>
    <w:p>
      <w:pPr>
        <w:pStyle w:val="900"/>
        <w:jc w:val="center"/>
        <w:rPr>
          <w:rFonts w:ascii="PT Astra Serif" w:hAnsi="PT Astra Serif" w:cs="PT Astra Serif"/>
          <w:caps/>
          <w:sz w:val="26"/>
          <w:szCs w:val="26"/>
        </w:rPr>
      </w:pPr>
      <w:r>
        <w:rPr>
          <w:rFonts w:ascii="PT Astra Serif" w:hAnsi="PT Astra Serif" w:cs="PT Astra Serif" w:eastAsiaTheme="minorHAnsi"/>
          <w:color w:val="000000" w:themeColor="text1"/>
          <w:sz w:val="28"/>
          <w:szCs w:val="28"/>
          <w:lang w:eastAsia="en-US"/>
        </w:rPr>
        <w:t xml:space="preserve">"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ВЫДАЧА РАЗРЕШЕНИЯ НА ПРАВО ОРГАНИЗАЦИИ ЯРМАРКИ</w:t>
      </w:r>
      <w:r>
        <w:rPr>
          <w:rFonts w:ascii="PT Astra Serif" w:hAnsi="PT Astra Serif" w:cs="PT Astra Serif"/>
          <w:caps/>
          <w:sz w:val="26"/>
          <w:szCs w:val="26"/>
        </w:rPr>
      </w:r>
      <w:r>
        <w:rPr>
          <w:rFonts w:ascii="PT Astra Serif" w:hAnsi="PT Astra Serif" w:cs="PT Astra Serif"/>
          <w:caps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Раздел I. Общие положения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Предмет регулирования административного регламента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1. Настоящий административный регламент устанавливает порядок предоставления муниципальной услуги "Выдача разрешения на право организации ярмарки" (далее – муниципальная услуга) и стандарт предоставления муниципальной услуги, вк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лючая сроки и последовательность административных процедур и административных действий Администрации муниципального образования "Городской округ "Город Нарьян-Мар" (далее – Администрация) при осуществлении полномочий по предоставлению муниципальной услуги.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Круг заявителей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bCs w:val="0"/>
          <w:color w:val="000000" w:themeColor="text1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color w:val="000000" w:themeColor="text1"/>
          <w:sz w:val="26"/>
          <w:szCs w:val="26"/>
        </w:rPr>
        <w:t xml:space="preserve">2.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</w:rPr>
        <w:t xml:space="preserve">Заявителями при предоставлении муниципальной услуги являются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юридическ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ие лица, индивидуальные предприниматели, а также граждане (в том числе граждане -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</w:rPr>
        <w:t xml:space="preserve">(далее – Заявитель).</w:t>
      </w:r>
      <w:r>
        <w:rPr>
          <w:rFonts w:ascii="PT Astra Serif" w:hAnsi="PT Astra Serif" w:cs="PT Astra Serif"/>
          <w:b w:val="0"/>
          <w:b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Интересы Заявителей, указанных в абзаце первом настоящего пункта, могут представлять их представители на основании документов, подтверждающих их статус.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слуга предоставляется в специально отведенных местах на территории муниципального образования «Городской округ «Город Нарьян-Мар.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Местом проведения ярмарок на территории муниципального образования "Городской округ "Город Нарьян-Мар" определена территория, прилегающая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к зданию Администрации, по адресу: ул. им. В.И. Ленина, д. 12, согласно топографическому плану (</w:t>
      </w:r>
      <w:hyperlink r:id="rId11" w:tooltip="https://internet.garant.ru/#/document/409394898/entry/1000" w:anchor="/document/409394898/entry/1000" w:history="1">
        <w:r>
          <w:rPr>
            <w:rStyle w:val="879"/>
            <w:rFonts w:ascii="PT Astra Serif" w:hAnsi="PT Astra Serif" w:eastAsia="PT Astra Serif" w:cs="PT Astra Serif"/>
            <w:color w:val="000000" w:themeColor="text1"/>
            <w:sz w:val="26"/>
            <w:szCs w:val="26"/>
            <w:u w:val="none"/>
          </w:rPr>
          <w:t xml:space="preserve">Приложение 1</w:t>
        </w:r>
      </w:hyperlink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 к настоящему административному регламенту).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Администрация уполномочена определить на территории муниципального образования "Городской округ "Город Нарьян-Мар" иное место проведения ярмарки.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(функций)",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на Едином портале предоставления государственных и муниципальных услуг (далее – Единый портал),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6"/>
          <w:szCs w:val="26"/>
        </w:rPr>
        <w:t xml:space="preserve">казенном учреждении Ненецкого автономного округа "Многофункциональный центр предоставления государственных и   муниципальных услуг"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(далее – МФЦ). </w:t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Раздел II. Стандарт предоставления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Наименование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4. Наименование муниципальной услуги – "</w:t>
      </w:r>
      <w:r>
        <w:rPr>
          <w:rFonts w:ascii="PT Astra Serif" w:hAnsi="PT Astra Serif" w:cs="PT Astra Serif"/>
          <w:sz w:val="26"/>
          <w:szCs w:val="26"/>
        </w:rPr>
        <w:t xml:space="preserve">Выдача разрешения на право организации ярмарки".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ind w:firstLine="709"/>
        <w:jc w:val="center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00"/>
        <w:ind w:firstLine="709"/>
        <w:jc w:val="center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Наименование органа, предоставляющего муниципальную услугу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5. Муниципальная услуга предоставляется Администрацией в лице структурного подразделения –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6"/>
          <w:szCs w:val="26"/>
          <w:highlight w:val="white"/>
        </w:rPr>
        <w:t xml:space="preserve">управление экономического и инвестиционного развития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Администрации (далее –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Управление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).  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6.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Приём заявления о предоставлении муниципальной услуги и выдача результата осуществляются по адресу: 166000, Ненецкий автономный округ,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br/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г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. Нарьян-Мар, ул. им. В.И. Ленина, д. 12, кабинет № 17 или посредством Единого портала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и в МФЦ </w:t>
      </w:r>
      <w:r>
        <w:rPr>
          <w:rFonts w:ascii="PT Astra Serif" w:hAnsi="PT Astra Serif" w:cs="PT Astra Serif"/>
          <w:b w:val="0"/>
          <w:bCs w:val="0"/>
          <w:color w:val="000000" w:themeColor="text1"/>
          <w:sz w:val="26"/>
          <w:szCs w:val="26"/>
        </w:rPr>
        <w:t xml:space="preserve">(при наличии соглашения о взаимодействии с таким МФЦ).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График приема Заявителей Управлением: ежедневно, кроме субботы, воскресенья и нерабочих праздничных дней, с 09.00 до 12.00 и с 14.00 до 17.00, пятница с 09.00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до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12.00.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В предпраздничные дни продолжительность рабочего времени сокращается на 1 час.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Конт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актный телефон: (81853) 4-23-13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Электронный адрес: </w:t>
      </w:r>
      <w:hyperlink r:id="rId12" w:tooltip="mailto:goradm@adm-nmar.ru." w:history="1">
        <w:r>
          <w:rPr>
            <w:rStyle w:val="879"/>
            <w:rFonts w:ascii="PT Astra Serif" w:hAnsi="PT Astra Serif" w:eastAsia="PT Astra Serif" w:cs="PT Astra Serif"/>
            <w:b w:val="0"/>
            <w:bCs w:val="0"/>
            <w:color w:val="000000" w:themeColor="text1"/>
            <w:sz w:val="26"/>
            <w:szCs w:val="26"/>
            <w:highlight w:val="white"/>
          </w:rPr>
          <w:t xml:space="preserve">goradm@adm-nmar.ru.</w:t>
        </w:r>
      </w:hyperlink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Официальный сайт: </w:t>
      </w:r>
      <w:hyperlink r:id="rId13" w:tooltip="http://www.adm-nmar.ru/" w:history="1">
        <w:r>
          <w:rPr>
            <w:rStyle w:val="879"/>
            <w:rFonts w:ascii="PT Astra Serif" w:hAnsi="PT Astra Serif" w:eastAsia="PT Astra Serif" w:cs="PT Astra Serif"/>
            <w:b w:val="0"/>
            <w:bCs w:val="0"/>
            <w:color w:val="000000" w:themeColor="text1"/>
            <w:sz w:val="26"/>
            <w:szCs w:val="26"/>
            <w:highlight w:val="white"/>
            <w:u w:val="none"/>
          </w:rPr>
          <w:t xml:space="preserve">www.adm-nmar.ru</w:t>
        </w:r>
      </w:hyperlink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</w:rPr>
        <w:t xml:space="preserve">Информация о графике работы МФЦ размещена: https://mfcnao.ru/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Результат предоставления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7. Результатом предоставления муниципальной услуги является: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color w:val="ff000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7.1. Письменное уведомление Заявителю о предоставлении разрешения на право организации ярмарки. </w:t>
      </w:r>
      <w:r>
        <w:rPr>
          <w:rFonts w:ascii="PT Astra Serif" w:hAnsi="PT Astra Serif" w:cs="PT Astra Serif"/>
          <w:b w:val="0"/>
          <w:color w:val="ff0000"/>
          <w:sz w:val="26"/>
          <w:szCs w:val="26"/>
        </w:rPr>
      </w:r>
      <w:r>
        <w:rPr>
          <w:rFonts w:ascii="PT Astra Serif" w:hAnsi="PT Astra Serif" w:cs="PT Astra Serif"/>
          <w:b w:val="0"/>
          <w:color w:val="ff000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7.2. П</w:t>
      </w:r>
      <w:r>
        <w:rPr>
          <w:b w:val="0"/>
          <w:sz w:val="26"/>
          <w:szCs w:val="26"/>
        </w:rPr>
        <w:t xml:space="preserve">исьменное уведомление Заявителю об отказе в предоставлении муниципальной услуги.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Срок предоставления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8. Срок предоставления муниципальной услуги не может превышать 20 (двадцать) рабочих дней со дня регистрации заявления.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Документ, являющийся результатом п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редоставления муниципальной услуги, в течение 2 (двух) рабочих дней со дня его оформления вручается Заявителю лично в отделе документационного обеспечения и работы с обращениями граждан управления делами Администрации либо направляется Заявителю указанным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br/>
        <w:t xml:space="preserve">в заявлении способом. </w:t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9.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при непосредственном обращении в орган местного самоуправления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10. Максимальный срок ожидания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в очереди при подаче заявления о предоставлении муниципальной услуги при непосредственном обращении в Администрацию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составляет 15 минут.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11. Максимальный срок ожидания в очереди при получении результата предоставления муниципальной услуги при непосредственном обращении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в Администрацию составляет 30 минут.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Срок регистрации заявления З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аявителя о предоставлении муниципальной услуги</w:t>
      </w:r>
      <w:r>
        <w:rPr>
          <w:rFonts w:ascii="PT Astra Serif" w:hAnsi="PT Astra Serif" w:cs="PT Astra Serif"/>
          <w:sz w:val="26"/>
          <w:szCs w:val="26"/>
          <w:highlight w:val="white"/>
        </w:rPr>
      </w:r>
      <w:r>
        <w:rPr>
          <w:rFonts w:ascii="PT Astra Serif" w:hAnsi="PT Astra Serif" w:cs="PT Astra Serif"/>
          <w:sz w:val="26"/>
          <w:szCs w:val="26"/>
          <w:highlight w:val="white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12. Срок регистрации заявления о предоставлении муниципальной услуги и документов, необходимых для предоставления муниципальной услуги, в Администрации составляет 1 (один) рабочий день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с даты подачи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заявления о предоставлении муниципальной услуги и документов, необходимых для предоставления муниципальной услуги.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Требования к помещениям, в которых предоставляется муниципальная услуга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13. Требования, которым должны соответствовать помещения, в которых предоставляется муниципальная услуга, размещаются на официальном сайте Ад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министрации, на Едином портале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.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 </w:t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Показатели доступности и качества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14. Перечень показателей качества и доступности муниципальной услуги размещается на официальном сайте Администрации, на Едином портале.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Иные требования к предоставлению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15.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yellow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r>
    </w:p>
    <w:p>
      <w:pPr>
        <w:pStyle w:val="902"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16. Информационные системы, используемые для предоставления муниципальной услуги: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а)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Единый портал;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б) Е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диная</w:t>
      </w:r>
      <w:r>
        <w:rPr>
          <w:rFonts w:ascii="PT Astra Serif" w:hAnsi="PT Astra Serif" w:eastAsia="PT Astra Serif" w:cs="PT Astra Serif"/>
          <w:b w:val="0"/>
          <w:bCs w:val="0"/>
          <w:spacing w:val="-11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система</w:t>
      </w:r>
      <w:r>
        <w:rPr>
          <w:rFonts w:ascii="PT Astra Serif" w:hAnsi="PT Astra Serif" w:eastAsia="PT Astra Serif" w:cs="PT Astra Serif"/>
          <w:b w:val="0"/>
          <w:bCs w:val="0"/>
          <w:spacing w:val="-12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межведомственного</w:t>
      </w:r>
      <w:r>
        <w:rPr>
          <w:rFonts w:ascii="PT Astra Serif" w:hAnsi="PT Astra Serif" w:eastAsia="PT Astra Serif" w:cs="PT Astra Serif"/>
          <w:b w:val="0"/>
          <w:bCs w:val="0"/>
          <w:spacing w:val="-11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  <w:t xml:space="preserve">электронного</w:t>
      </w:r>
      <w:r>
        <w:rPr>
          <w:rFonts w:ascii="PT Astra Serif" w:hAnsi="PT Astra Serif" w:eastAsia="PT Astra Serif" w:cs="PT Astra Serif"/>
          <w:b w:val="0"/>
          <w:bCs w:val="0"/>
          <w:spacing w:val="-11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pacing w:val="-2"/>
          <w:sz w:val="26"/>
          <w:szCs w:val="26"/>
        </w:rPr>
        <w:t xml:space="preserve">взаимодействия (СМЭВ).</w:t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Исчерпывающий перечень документов,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br/>
        <w:t xml:space="preserve">необходимых для предоставления муниципальной услуги</w:t>
      </w:r>
      <w:r>
        <w:rPr>
          <w:rFonts w:ascii="PT Astra Serif" w:hAnsi="PT Astra Serif" w:cs="PT Astra Serif"/>
          <w:sz w:val="26"/>
          <w:szCs w:val="26"/>
          <w:highlight w:val="white"/>
        </w:rPr>
      </w:r>
      <w:r>
        <w:rPr>
          <w:rFonts w:ascii="PT Astra Serif" w:hAnsi="PT Astra Serif" w:cs="PT Astra Serif"/>
          <w:sz w:val="26"/>
          <w:szCs w:val="26"/>
          <w:highlight w:val="white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  <w:highlight w:val="white"/>
        </w:rPr>
      </w:pP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  <w:r>
        <w:rPr>
          <w:rFonts w:ascii="PT Astra Serif" w:hAnsi="PT Astra Serif" w:cs="PT Astra Serif"/>
          <w:b w:val="0"/>
          <w:sz w:val="26"/>
          <w:szCs w:val="26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17. Для предоставления муниципальной услуги Заявителем представляются документы, указанные в Приложение 2 к настоящему административному регламенту.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18.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Исчерпывающий перечень документов, необходимых в соответствии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yellow"/>
        </w:rPr>
        <w:t xml:space="preserve">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br/>
        <w:t xml:space="preserve">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н представи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2 к настоящему административному регламенту.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Исчерпывающий перечень оснований для отка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за в приеме заявления о предоставлении муниципальной услуги и документов, необходимых для предоставления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19. </w:t>
      </w:r>
      <w:r>
        <w:rPr>
          <w:rFonts w:ascii="PT Astra Serif" w:hAnsi="PT Astra Serif" w:eastAsia="PT Astra Serif" w:cs="PT Astra Serif"/>
          <w:b w:val="0"/>
          <w:sz w:val="26"/>
          <w:szCs w:val="26"/>
          <w:highlight w:val="white"/>
        </w:rPr>
        <w:t xml:space="preserve">Основания для отказа в приеме документов, необходимых для предоставления муниципальной услуги, приведены в Приложении 5 к настоящему административному регламенту. </w:t>
      </w:r>
      <w:r>
        <w:rPr>
          <w:rFonts w:ascii="PT Astra Serif" w:hAnsi="PT Astra Serif" w:cs="PT Astra Serif"/>
          <w:sz w:val="26"/>
          <w:szCs w:val="26"/>
          <w:highlight w:val="white"/>
        </w:rPr>
      </w:r>
      <w:r>
        <w:rPr>
          <w:rFonts w:ascii="PT Astra Serif" w:hAnsi="PT Astra Serif" w:cs="PT Astra Serif"/>
          <w:sz w:val="26"/>
          <w:szCs w:val="26"/>
          <w:highlight w:val="white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20.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Основания для отказа в предоставлении муниципальной услуги приведены в Приложении 5 к настоящему административному регламенту.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21. Основания для приостановления предоставления муниципальной услуги законодательством Российской Федерации не предусмотрены.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Раздел III. Состав, последовательность и сроки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выполнения административных процедур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Перечень осуществляемых при предоставлении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услуги административных процедур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 При обращении Заявителя за выдачей разрешения на право организации ярмарки: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22.1. профилирование Заявителя согласно Приложению 3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br/>
        <w:t xml:space="preserve">к настоящему административному регламенту;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22.2. прием заявления о предоставлении муниципальной услуги и документов и (или) информации, необходимых для предоставления </w:t>
      </w: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муниципальной услуги - 1 рабочий день;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22.3. межведомственное информационное взаимодействие (при наличии оснований и технической возможности) - 5 рабочих дней;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22.4. принятие решения о предоставлении (об отказе в предоставлении) муниципальной услуги - 12 рабочих дней;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22.5. предоставление результата муниципальной услуги - 2 рабочих дня.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23. Административные процедуры "Приостановление предоставления муниципальной услуги", "Получение дополнительных сведений от Заявителя" не приведены, поскольку они не предусмотрены законодательством Российской Федерации.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IV. Способы информирования Заявителя об изменении статуса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рассмотрения заявления о предоставлении муниципальной услуги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  <w:t xml:space="preserve">24. Информирование Заявителя об изменении статуса рассмотрения заявления о предоставлении муниципальной услуги осуществляется в личном кабинете на Едином портале (при наличии технической возможности), а также по телефону или почтовым отправлением.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ind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tbl>
      <w:tblPr>
        <w:tblStyle w:val="753"/>
        <w:tblW w:w="0" w:type="auto"/>
        <w:tblInd w:w="464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27"/>
      </w:tblGrid>
      <w:tr>
        <w:tblPrEx/>
        <w:trPr>
          <w:trHeight w:val="1775"/>
        </w:trPr>
        <w:tc>
          <w:tcPr>
            <w:tcW w:w="4989" w:type="dxa"/>
            <w:textDirection w:val="lrTb"/>
            <w:noWrap w:val="false"/>
          </w:tcPr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Приложение 1</w:t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к Административному регламенту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r>
          </w:p>
        </w:tc>
      </w:tr>
    </w:tbl>
    <w:p>
      <w:pPr>
        <w:jc w:val="right"/>
        <w:spacing w:after="0" w:line="240" w:lineRule="auto"/>
        <w:shd w:val="clear" w:color="ffffff" w:fill="ffffff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spacing w:after="0" w:line="240" w:lineRule="auto"/>
        <w:shd w:val="clear" w:color="ffffff" w:fill="ffffff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spacing w:after="0" w:line="240" w:lineRule="auto"/>
        <w:shd w:val="clear" w:color="ffffff" w:fill="ffffff"/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t xml:space="preserve">Топографический план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  <w:br/>
        <w:t xml:space="preserve">места проведения ярмарки на территории муниципального образования "Городской округ "Город Нарьян-Мар" </w:t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eastAsia="PT Astra Serif" w:cs="PT Astra Serif"/>
          <w:color w:val="000000" w:themeColor="text1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3474720"/>
                <wp:effectExtent l="0" t="0" r="0" b="0"/>
                <wp:docPr id="2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39790" cy="347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0pt;height:273.6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cs="PT Astra Serif"/>
          <w:b w:val="0"/>
          <w:bCs w:val="0"/>
          <w:sz w:val="26"/>
          <w:szCs w:val="26"/>
        </w:rPr>
      </w:r>
    </w:p>
    <w:tbl>
      <w:tblPr>
        <w:tblStyle w:val="753"/>
        <w:tblW w:w="0" w:type="auto"/>
        <w:tblInd w:w="464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27"/>
      </w:tblGrid>
      <w:tr>
        <w:tblPrEx/>
        <w:trPr/>
        <w:tc>
          <w:tcPr>
            <w:tcW w:w="4931" w:type="dxa"/>
            <w:textDirection w:val="lrTb"/>
            <w:noWrap w:val="false"/>
          </w:tcPr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Приложение 2</w:t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к Административному регламенту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ff0000"/>
                <w:sz w:val="26"/>
                <w:szCs w:val="26"/>
              </w:rPr>
            </w:r>
          </w:p>
        </w:tc>
      </w:tr>
    </w:tbl>
    <w:p>
      <w:pPr>
        <w:pStyle w:val="900"/>
        <w:jc w:val="right"/>
        <w:rPr>
          <w:rFonts w:ascii="PT Astra Serif" w:hAnsi="PT Astra Serif" w:cs="PT Astra Serif"/>
          <w:b w:val="0"/>
          <w:color w:val="ff0000"/>
          <w:sz w:val="26"/>
          <w:szCs w:val="26"/>
        </w:rPr>
      </w:pPr>
      <w:r>
        <w:rPr>
          <w:rFonts w:ascii="PT Astra Serif" w:hAnsi="PT Astra Serif" w:cs="PT Astra Serif"/>
          <w:b w:val="0"/>
          <w:color w:val="ff0000"/>
          <w:sz w:val="26"/>
          <w:szCs w:val="26"/>
        </w:rPr>
      </w:r>
      <w:r>
        <w:rPr>
          <w:rFonts w:ascii="PT Astra Serif" w:hAnsi="PT Astra Serif" w:cs="PT Astra Serif"/>
          <w:b w:val="0"/>
          <w:color w:val="ff0000"/>
          <w:sz w:val="26"/>
          <w:szCs w:val="26"/>
        </w:rPr>
      </w:r>
      <w:r>
        <w:rPr>
          <w:rFonts w:ascii="PT Astra Serif" w:hAnsi="PT Astra Serif" w:cs="PT Astra Serif"/>
          <w:b w:val="0"/>
          <w:color w:val="ff000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6"/>
          <w:szCs w:val="26"/>
        </w:rPr>
        <w:outlineLvl w:val="0"/>
      </w:pPr>
      <w:r>
        <w:rPr>
          <w:rFonts w:ascii="PT Astra Serif" w:hAnsi="PT Astra Serif" w:cs="PT Astra Serif"/>
          <w:b/>
          <w:bCs/>
          <w:sz w:val="26"/>
          <w:szCs w:val="26"/>
        </w:rPr>
        <w:t xml:space="preserve">Исчерпывающий перечень документов,</w:t>
      </w:r>
      <w:r>
        <w:rPr>
          <w:rFonts w:ascii="PT Astra Serif" w:hAnsi="PT Astra Serif" w:cs="PT Astra Serif"/>
          <w:b/>
          <w:bCs/>
          <w:sz w:val="26"/>
          <w:szCs w:val="26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6"/>
          <w:szCs w:val="26"/>
        </w:rPr>
      </w:pPr>
      <w:r>
        <w:rPr>
          <w:rFonts w:ascii="PT Astra Serif" w:hAnsi="PT Astra Serif" w:cs="PT Astra Serif"/>
          <w:b/>
          <w:bCs/>
          <w:sz w:val="26"/>
          <w:szCs w:val="26"/>
        </w:rPr>
        <w:t xml:space="preserve">необходимых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 для предоставления муниципальной услуги</w:t>
      </w:r>
      <w:r>
        <w:rPr>
          <w:rFonts w:ascii="PT Astra Serif" w:hAnsi="PT Astra Serif" w:cs="PT Astra Serif"/>
          <w:b/>
          <w:bCs/>
          <w:sz w:val="26"/>
          <w:szCs w:val="26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tbl>
      <w:tblPr>
        <w:tblW w:w="935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3543"/>
        <w:gridCol w:w="35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Перечень необходимых для предоставления муниципальной услуги документов, которые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Заявитель должен представить самостоятельно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Перечень документов, которые Заявитель вправе представить по собственной инициативе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1. </w:t>
            </w:r>
            <w:hyperlink r:id="rId15" w:tooltip="https://login.consultant.ru/link/?req=doc&amp;base=SPB&amp;n=324440&amp;dst=100198" w:history="1">
              <w:r>
                <w:rPr>
                  <w:rFonts w:ascii="PT Astra Serif" w:hAnsi="PT Astra Serif" w:cs="PT Astra Serif"/>
                  <w:sz w:val="20"/>
                  <w:szCs w:val="20"/>
                </w:rPr>
                <w:t xml:space="preserve">Заявление</w:t>
              </w:r>
            </w:hyperlink>
            <w:r>
              <w:rPr>
                <w:rFonts w:ascii="PT Astra Serif" w:hAnsi="PT Astra Serif" w:cs="PT Astra Serif"/>
                <w:sz w:val="20"/>
                <w:szCs w:val="20"/>
              </w:rPr>
              <w:t xml:space="preserve"> о выдаче разрешения на право организации ярмарки</w:t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  <w:shd w:val="clear" w:color="ffffff" w:themeColor="background1" w:fill="ffffff" w:themeFill="background1"/>
              </w:rPr>
              <w:t xml:space="preserve"> (Прило</w:t>
            </w:r>
            <w:r>
              <w:rPr>
                <w:rFonts w:ascii="PT Astra Serif" w:hAnsi="PT Astra Serif" w:cs="PT Astra Serif"/>
                <w:sz w:val="20"/>
                <w:szCs w:val="20"/>
              </w:rPr>
              <w:t xml:space="preserve">жение 4).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2. Документ, удостов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еряющий личность представителя заявителя (предоставляется в случае личного обращения в Администрацию или в МФЦ). При обращении посредством Единого портала сведения из документа, удостоверяющего личность, проверяются при подтверждении учетной записи в ЕСИА;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  <w:p>
            <w:pPr>
              <w:jc w:val="both"/>
              <w:spacing w:before="280" w:after="0" w:line="240" w:lineRule="auto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3.Документ,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(предоставляется в случае личного обращения в Администрацию или МФЦ). 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4. План мероприятий по организации ярмарки и продажи товаров (выполнения работ, оказания услуг) на ней, который содержит: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наименование организатора ярмарки;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виде ярмарки;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месте проведения ярмарки;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дате и режиме работы ярмарки (времени проведения);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ассортимент реализуемых товаров на ярмарке;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порядок и условия предоставления торговых мест на ярмарке;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5. Схема размещения торговых мест на ярмарке.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4"/>
              </w:numPr>
              <w:ind w:left="0" w:firstLine="0"/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Выписка из Единого государственного реестра юридических лиц.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1. </w:t>
            </w:r>
            <w:hyperlink r:id="rId16" w:tooltip="https://login.consultant.ru/link/?req=doc&amp;base=SPB&amp;n=324440&amp;dst=100198" w:history="1">
              <w:r>
                <w:rPr>
                  <w:rFonts w:ascii="PT Astra Serif" w:hAnsi="PT Astra Serif" w:cs="PT Astra Serif"/>
                  <w:sz w:val="20"/>
                  <w:szCs w:val="20"/>
                </w:rPr>
                <w:t xml:space="preserve">Заявление</w:t>
              </w:r>
            </w:hyperlink>
            <w:r>
              <w:rPr>
                <w:rFonts w:ascii="PT Astra Serif" w:hAnsi="PT Astra Serif" w:cs="PT Astra Serif"/>
                <w:sz w:val="20"/>
                <w:szCs w:val="20"/>
              </w:rPr>
              <w:t xml:space="preserve"> о выдаче разрешения на право организации ярмарки</w:t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  <w:shd w:val="clear" w:color="ffffff" w:themeColor="background1" w:fill="ffffff" w:themeFill="background1"/>
              </w:rPr>
              <w:t xml:space="preserve"> (Прило</w:t>
            </w:r>
            <w:r>
              <w:rPr>
                <w:rFonts w:ascii="PT Astra Serif" w:hAnsi="PT Astra Serif" w:cs="PT Astra Serif"/>
                <w:sz w:val="20"/>
                <w:szCs w:val="20"/>
              </w:rPr>
              <w:t xml:space="preserve">жение 4);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2. Документ, удостов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еряющий личность представителя заявителя (предоставляется в случае личного обращения в Администрацию или в МФЦ). При обращении посредством Единого портала сведения из документа, удостоверяющего личность, проверяются при подтверждении учетной записи в ЕСИА;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3.Документ,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(предоставляется в случае личного обращения в Администрацию или МФЦ).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4. План мероприятий по организации ярмарки и продажи товаров (выполнения работ, оказания услуг) на ней, который содержит: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наименование организатора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виде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месте проведения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дате и режиме работы ярмарки (времени проведения);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ассортимент реализуемых товаров на ярмарке;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порядок и условия предоставления торговых мест на ярмарке;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5. Схема размещения торговых мест на ярмарке.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before="280" w:after="0" w:line="240" w:lineRule="auto"/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898"/>
              <w:numPr>
                <w:ilvl w:val="0"/>
                <w:numId w:val="8"/>
              </w:numPr>
              <w:ind w:left="0" w:firstLine="0"/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Выписка из Единого государственного реестра индивидуальных предпринимателей.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r>
        <w:br w:type="page" w:clear="all"/>
      </w:r>
      <w:r/>
    </w:p>
    <w:tbl>
      <w:tblPr>
        <w:tblW w:w="935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3543"/>
        <w:gridCol w:w="3543"/>
      </w:tblGrid>
      <w:tr>
        <w:tblPrEx/>
        <w:trPr>
          <w:trHeight w:val="34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  <w:t xml:space="preserve">1. </w:t>
            </w:r>
            <w:hyperlink r:id="rId17" w:tooltip="https://login.consultant.ru/link/?req=doc&amp;base=SPB&amp;n=324440&amp;dst=100198" w:history="1">
              <w:r>
                <w:rPr>
                  <w:rFonts w:ascii="PT Astra Serif" w:hAnsi="PT Astra Serif" w:cs="PT Astra Serif"/>
                  <w:sz w:val="20"/>
                  <w:szCs w:val="20"/>
                </w:rPr>
                <w:t xml:space="preserve">Заявление</w:t>
              </w:r>
            </w:hyperlink>
            <w:r>
              <w:rPr>
                <w:rFonts w:ascii="PT Astra Serif" w:hAnsi="PT Astra Serif" w:cs="PT Astra Serif"/>
                <w:sz w:val="20"/>
                <w:szCs w:val="20"/>
              </w:rPr>
              <w:t xml:space="preserve"> о выдаче разрешения на право организации ярмарки</w:t>
            </w:r>
            <w:r>
              <w:rPr>
                <w:rFonts w:ascii="PT Astra Serif" w:hAnsi="PT Astra Serif" w:cs="PT Astra Serif"/>
                <w:sz w:val="20"/>
                <w:szCs w:val="20"/>
                <w:highlight w:val="white"/>
                <w:shd w:val="clear" w:color="ffffff" w:themeColor="background1" w:fill="ffffff" w:themeFill="background1"/>
              </w:rPr>
              <w:t xml:space="preserve"> (Прило</w:t>
            </w:r>
            <w:r>
              <w:rPr>
                <w:rFonts w:ascii="PT Astra Serif" w:hAnsi="PT Astra Serif" w:cs="PT Astra Serif"/>
                <w:sz w:val="20"/>
                <w:szCs w:val="20"/>
              </w:rPr>
              <w:t xml:space="preserve">жение 4).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2. Документ, удостоверяющий личность заявителя (предоставляется в случае личн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ого обращения в Администрацию или МФЦ). При обращении посредством Единого портала сведения из документа, удостоверяющего личность, проверяются при подтверждении учетной записи в Федеральной государственной информационной системе "Единая система идентификац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ии и ау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3. С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оглашение о создании КФХ (если хозяйство создается без образования юридического лица) либо списком членов/уставом (если КФХ зарегистрировано как юридическое лицо).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4. План мероприятий по организации ярмарки и продажи товаров (выполнения работ, оказания услуг) на ней, который содержит: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наименование организатора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виде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месте проведения ярмарки;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информацию о дате и режиме работы ярмарки (времени проведения);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ассортимент реализуемых товаров на ярмарке;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порядок и условия предоставления торговых мест на ярмарке;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5. Схема размещения торговых мест на ярмарке.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Merge w:val="restart"/>
            <w:textDirection w:val="lrTb"/>
            <w:noWrap w:val="false"/>
          </w:tcPr>
          <w:p>
            <w:pPr>
              <w:pStyle w:val="898"/>
              <w:numPr>
                <w:ilvl w:val="0"/>
                <w:numId w:val="9"/>
              </w:numPr>
              <w:ind w:left="0" w:firstLine="0"/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Выписка из Единого государственного реестра юридических лиц.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98"/>
              <w:numPr>
                <w:ilvl w:val="0"/>
                <w:numId w:val="9"/>
              </w:numPr>
              <w:ind w:left="0" w:firstLine="0"/>
              <w:jc w:val="both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Выписка из Единого государственного реестра индивидуальных предпринимателей.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highlight w:val="yellow"/>
        </w:rPr>
      </w:r>
    </w:p>
    <w:p>
      <w:pPr>
        <w:pStyle w:val="900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</w:rPr>
      </w:r>
    </w:p>
    <w:p>
      <w:pPr>
        <w:rPr>
          <w:rFonts w:ascii="PT Astra Serif" w:hAnsi="PT Astra Serif" w:eastAsia="PT Astra Serif" w:cs="PT Astra Serif"/>
          <w:sz w:val="26"/>
          <w:szCs w:val="26"/>
          <w:lang w:eastAsia="ru-RU"/>
        </w:rPr>
      </w:pPr>
      <w:r>
        <w:rPr>
          <w:rFonts w:ascii="PT Astra Serif" w:hAnsi="PT Astra Serif" w:eastAsia="PT Astra Serif" w:cs="PT Astra Serif"/>
          <w:b/>
          <w:bCs/>
          <w:sz w:val="26"/>
          <w:szCs w:val="26"/>
        </w:rPr>
        <w:br w:type="page" w:clear="all"/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</w:r>
    </w:p>
    <w:tbl>
      <w:tblPr>
        <w:tblStyle w:val="753"/>
        <w:tblW w:w="0" w:type="auto"/>
        <w:tblInd w:w="478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5"/>
      </w:tblGrid>
      <w:tr>
        <w:tblPrEx/>
        <w:trPr/>
        <w:tc>
          <w:tcPr>
            <w:tcW w:w="4789" w:type="dxa"/>
            <w:textDirection w:val="lrTb"/>
            <w:noWrap w:val="false"/>
          </w:tcPr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Приложение 3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к Административному регламенту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b/>
          <w:bCs/>
          <w:sz w:val="26"/>
          <w:szCs w:val="26"/>
        </w:rPr>
        <w:outlineLvl w:val="0"/>
      </w:pPr>
      <w:r>
        <w:rPr>
          <w:rFonts w:ascii="PT Astra Serif" w:hAnsi="PT Astra Serif" w:cs="PT Astra Serif"/>
          <w:b/>
          <w:bCs/>
          <w:sz w:val="26"/>
          <w:szCs w:val="26"/>
        </w:rPr>
        <w:t xml:space="preserve">Идентификаторы категорий (признаков) Заявителей</w:t>
      </w:r>
      <w:r>
        <w:rPr>
          <w:rFonts w:ascii="PT Astra Serif" w:hAnsi="PT Astra Serif" w:cs="PT Astra Serif"/>
          <w:b/>
          <w:bCs/>
          <w:sz w:val="26"/>
          <w:szCs w:val="26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p>
      <w:pPr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438"/>
        <w:gridCol w:w="3175"/>
        <w:gridCol w:w="38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Перечень результатов предоставления муниципальной услуги (цели обращения Заявителя)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Решение о предоставлении разрешения на право организации ярмарки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Решение об отказе в предоставлении разрешения на право организации ярмарки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Б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Юридическое лицо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Б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Индивидуальный предприниматель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Б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Граждане (в том числе граждане -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2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Б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2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rPr>
          <w:rFonts w:ascii="PT Astra Serif" w:hAnsi="PT Astra Serif" w:eastAsia="Times New Roman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/>
          <w:sz w:val="26"/>
          <w:szCs w:val="26"/>
        </w:rPr>
        <w:br w:type="page" w:clear="all"/>
      </w:r>
      <w:r>
        <w:rPr>
          <w:rFonts w:ascii="PT Astra Serif" w:hAnsi="PT Astra Serif" w:eastAsia="Times New Roman" w:cs="PT Astra Serif"/>
          <w:bCs/>
          <w:sz w:val="26"/>
          <w:szCs w:val="26"/>
          <w:lang w:eastAsia="ru-RU"/>
        </w:rPr>
      </w:r>
      <w:r>
        <w:rPr>
          <w:rFonts w:ascii="PT Astra Serif" w:hAnsi="PT Astra Serif" w:eastAsia="Times New Roman" w:cs="PT Astra Serif"/>
          <w:bCs/>
          <w:sz w:val="26"/>
          <w:szCs w:val="26"/>
          <w:lang w:eastAsia="ru-RU"/>
        </w:rPr>
      </w:r>
    </w:p>
    <w:tbl>
      <w:tblPr>
        <w:tblStyle w:val="753"/>
        <w:tblW w:w="0" w:type="auto"/>
        <w:tblInd w:w="450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68"/>
      </w:tblGrid>
      <w:tr>
        <w:tblPrEx/>
        <w:trPr/>
        <w:tc>
          <w:tcPr>
            <w:tcW w:w="5072" w:type="dxa"/>
            <w:textDirection w:val="lrTb"/>
            <w:noWrap w:val="false"/>
          </w:tcPr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color w:val="000000" w:themeColor="text1"/>
                <w:sz w:val="26"/>
                <w:szCs w:val="26"/>
              </w:rPr>
              <w:t xml:space="preserve">Приложение 4</w:t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color w:val="000000" w:themeColor="text1"/>
                <w:sz w:val="26"/>
                <w:szCs w:val="26"/>
              </w:rPr>
              <w:t xml:space="preserve">к Административному регламенту</w:t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color w:val="000000" w:themeColor="text1"/>
                <w:sz w:val="26"/>
                <w:szCs w:val="26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pP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</w:p>
    <w:p>
      <w:pPr>
        <w:pStyle w:val="900"/>
        <w:jc w:val="right"/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pP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</w:p>
    <w:p>
      <w:pPr>
        <w:pStyle w:val="900"/>
        <w:ind w:left="3543"/>
        <w:jc w:val="right"/>
        <w:rPr>
          <w:rFonts w:ascii="PT Astra Serif" w:hAnsi="PT Astra Serif" w:eastAsia="PT Astra Serif" w:cs="PT Astra Serif"/>
          <w:b w:val="0"/>
          <w:color w:val="000000" w:themeColor="text1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Главе города Нарьян-Мара                                       __________________________________                                    от __________________________________                                     (фамилия, имя, отчество (последнее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-                            при наличии) индивидуального предпринимателя,                            адрес места жительства) (наименование (полное                                и сокращенное, в том числе фирменное (при                            наличии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)) юридического лица, местонахождение)                                      ___________________________________                                   (государственный регистрационный номер                                        записи о создании индивидуальног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о                                        предпринимателя/юридического лица                                                           в ЕГРИП/ЕГРЮЛ)                               __________________________________________                              (идент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ификационный номер налогоплательщика)                              ___________________________________________                                       (номер контактного телефона, адрес                                                       электронной почты)</w:t>
      </w:r>
      <w:r>
        <w:rPr>
          <w:rFonts w:ascii="PT Astra Serif" w:hAnsi="PT Astra Serif" w:eastAsia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color w:val="000000" w:themeColor="text1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pP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 w:val="0"/>
          <w:color w:val="000000" w:themeColor="text1"/>
          <w:sz w:val="26"/>
          <w:szCs w:val="26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418"/>
      </w:tblGrid>
      <w:tr>
        <w:tblPrEx/>
        <w:trPr/>
        <w:tc>
          <w:tcPr>
            <w:tcW w:w="9418" w:type="dxa"/>
            <w:textDirection w:val="lrTb"/>
            <w:noWrap w:val="false"/>
          </w:tcPr>
          <w:p>
            <w:pPr>
              <w:pStyle w:val="903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lang w:val="ru-RU"/>
              </w:rPr>
              <w:t xml:space="preserve">Заявление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r>
          </w:p>
          <w:p>
            <w:pPr>
              <w:pStyle w:val="903"/>
              <w:ind w:left="1415" w:firstLine="0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lang w:val="ru-RU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Прошу выдать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 разрешение на право организации ярмарки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ind w:left="360"/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Цель организации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ярмарки:______________________________________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.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ind w:left="360" w:hanging="77"/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Место и сроки проведения ярмарки: _______________________________.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ind w:left="360" w:hanging="77"/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Вид ярмарки: __________________________________________________.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ind w:left="360" w:hanging="77"/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ind w:left="360" w:hanging="77"/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Результат предоставления муниципальной услуги прошу предоставить путём______________________________________________________________.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 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Приложение:    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1. План мероприятий;     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2. Схема размещения торговых мест на ярмарке;     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3. _________________________________________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.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 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Дата ____________                       Подпись __________________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/>
              <w:shd w:val="clear" w:color="ffffff" w:fill="ffffff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</w:rPr>
              <w:t xml:space="preserve"> 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</w:tc>
      </w:tr>
    </w:tbl>
    <w:tbl>
      <w:tblPr>
        <w:tblStyle w:val="753"/>
        <w:tblW w:w="0" w:type="auto"/>
        <w:tblInd w:w="464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27"/>
      </w:tblGrid>
      <w:tr>
        <w:tblPrEx/>
        <w:trPr/>
        <w:tc>
          <w:tcPr>
            <w:tcW w:w="4931" w:type="dxa"/>
            <w:textDirection w:val="lrTb"/>
            <w:noWrap w:val="false"/>
          </w:tcPr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Приложение  5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sz w:val="26"/>
                <w:szCs w:val="26"/>
              </w:rPr>
              <w:t xml:space="preserve">к Административному регламенту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предоставления муниципальной услуги «Выдача разрешения на право организации ярмарки»</w:t>
            </w:r>
            <w:r>
              <w:rPr>
                <w:rFonts w:ascii="PT Astra Serif" w:hAnsi="PT Astra Serif" w:cs="PT Astra Serif"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  <w:p>
            <w:pPr>
              <w:pStyle w:val="900"/>
              <w:jc w:val="both"/>
              <w:rPr>
                <w:rFonts w:ascii="PT Astra Serif" w:hAnsi="PT Astra Serif" w:cs="PT Astra Serif"/>
                <w:b w:val="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b w:val="0"/>
                <w:sz w:val="26"/>
                <w:szCs w:val="26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center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 w:eastAsiaTheme="minorHAnsi"/>
          <w:sz w:val="26"/>
          <w:szCs w:val="26"/>
          <w:lang w:eastAsia="en-US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216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№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Перечень оснований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PT Astra Serif" w:cs="Times New Roman"/>
                <w:sz w:val="26"/>
                <w:szCs w:val="26"/>
                <w:highlight w:val="white"/>
              </w:rPr>
              <w:t xml:space="preserve">Представление неполного комплекта документов, указанных в Приложении 2.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 w:cs="PT Astra Serif"/>
                <w:sz w:val="26"/>
                <w:szCs w:val="26"/>
              </w:rPr>
              <w:br/>
              <w:t xml:space="preserve">в предоставлении муниципальной услуги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48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2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3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Несоответствие заявления установленным требованиям (Приложение 4);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Заявитель не относится к категории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юридического лица,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 индивидуального предпринимателя, а также гражданина (в том числе гражданина - главы крестьянских (фермерских) хозяйств, члена таких хозяйств, гражданина, ведущего личное подсобное хозяйство или занимающегося садоводством, огородничеством, животноводством)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;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Проведение ярмарки совпадает по времени и месту проведения с другой ярмаркой, иным массовым мероприятием, 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заявления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 о проведении которых были поданы ранее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и по ним принято положительное решение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Б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</w:tbl>
    <w:p>
      <w:pPr>
        <w:pStyle w:val="900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680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43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0" w:hanging="18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605" w:hanging="18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650" w:hanging="18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96" w:hanging="18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1" w:hanging="18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32" w:hanging="1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0" w:hanging="5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680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43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0" w:hanging="18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605" w:hanging="18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650" w:hanging="18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96" w:hanging="18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1" w:hanging="18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32" w:hanging="1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680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43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0" w:hanging="18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605" w:hanging="18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650" w:hanging="18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96" w:hanging="18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1" w:hanging="18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32" w:hanging="18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992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84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77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69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54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46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38" w:hanging="28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 w:default="1">
    <w:name w:val="Normal"/>
    <w:qFormat/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paragraph" w:styleId="684" w:customStyle="1">
    <w:name w:val="Heading 1"/>
    <w:basedOn w:val="680"/>
    <w:next w:val="680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85" w:customStyle="1">
    <w:name w:val="Heading 2"/>
    <w:basedOn w:val="680"/>
    <w:next w:val="680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86" w:customStyle="1">
    <w:name w:val="Heading 3"/>
    <w:basedOn w:val="680"/>
    <w:next w:val="680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7" w:customStyle="1">
    <w:name w:val="Heading 4"/>
    <w:basedOn w:val="680"/>
    <w:next w:val="680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 w:customStyle="1">
    <w:name w:val="Heading 5"/>
    <w:basedOn w:val="680"/>
    <w:next w:val="680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 w:customStyle="1">
    <w:name w:val="Heading 6"/>
    <w:basedOn w:val="680"/>
    <w:next w:val="680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90" w:customStyle="1">
    <w:name w:val="Heading 7"/>
    <w:basedOn w:val="680"/>
    <w:next w:val="680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91" w:customStyle="1">
    <w:name w:val="Heading 8"/>
    <w:basedOn w:val="680"/>
    <w:next w:val="680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92" w:customStyle="1">
    <w:name w:val="Heading 9"/>
    <w:basedOn w:val="680"/>
    <w:next w:val="680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3" w:customStyle="1">
    <w:name w:val="Header"/>
    <w:basedOn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4" w:customStyle="1">
    <w:name w:val="Footer"/>
    <w:basedOn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5" w:customStyle="1">
    <w:name w:val="Caption"/>
    <w:basedOn w:val="680"/>
    <w:next w:val="680"/>
    <w:link w:val="75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table" w:styleId="696" w:customStyle="1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 w:customStyle="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 w:customStyle="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 w:customStyle="1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 w:customStyle="1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07" w:customStyle="1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10" w:customStyle="1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13" w:customStyle="1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14" w:customStyle="1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15" w:customStyle="1">
    <w:name w:val="Title Char"/>
    <w:basedOn w:val="681"/>
    <w:uiPriority w:val="10"/>
    <w:rPr>
      <w:sz w:val="48"/>
      <w:szCs w:val="48"/>
    </w:rPr>
  </w:style>
  <w:style w:type="character" w:styleId="716" w:customStyle="1">
    <w:name w:val="Subtitle Char"/>
    <w:basedOn w:val="681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Footnote Text Char"/>
    <w:uiPriority w:val="99"/>
    <w:rPr>
      <w:sz w:val="18"/>
    </w:rPr>
  </w:style>
  <w:style w:type="character" w:styleId="720" w:customStyle="1">
    <w:name w:val="Endnote Text Char"/>
    <w:uiPriority w:val="99"/>
    <w:rPr>
      <w:sz w:val="20"/>
    </w:rPr>
  </w:style>
  <w:style w:type="paragraph" w:styleId="721" w:customStyle="1">
    <w:name w:val="Заголовок 11"/>
    <w:basedOn w:val="680"/>
    <w:next w:val="680"/>
    <w:link w:val="7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22" w:customStyle="1">
    <w:name w:val="Heading 1 Char"/>
    <w:link w:val="721"/>
    <w:uiPriority w:val="9"/>
    <w:rPr>
      <w:rFonts w:ascii="Arial" w:hAnsi="Arial" w:eastAsia="Arial" w:cs="Arial"/>
      <w:sz w:val="40"/>
      <w:szCs w:val="40"/>
    </w:rPr>
  </w:style>
  <w:style w:type="paragraph" w:styleId="723" w:customStyle="1">
    <w:name w:val="Заголовок 21"/>
    <w:basedOn w:val="680"/>
    <w:next w:val="680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24" w:customStyle="1">
    <w:name w:val="Heading 2 Char"/>
    <w:link w:val="723"/>
    <w:uiPriority w:val="9"/>
    <w:rPr>
      <w:rFonts w:ascii="Arial" w:hAnsi="Arial" w:eastAsia="Arial" w:cs="Arial"/>
      <w:sz w:val="34"/>
    </w:rPr>
  </w:style>
  <w:style w:type="paragraph" w:styleId="725" w:customStyle="1">
    <w:name w:val="Заголовок 31"/>
    <w:basedOn w:val="680"/>
    <w:next w:val="680"/>
    <w:link w:val="72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26" w:customStyle="1">
    <w:name w:val="Heading 3 Char"/>
    <w:link w:val="725"/>
    <w:uiPriority w:val="9"/>
    <w:rPr>
      <w:rFonts w:ascii="Arial" w:hAnsi="Arial" w:eastAsia="Arial" w:cs="Arial"/>
      <w:sz w:val="30"/>
      <w:szCs w:val="30"/>
    </w:rPr>
  </w:style>
  <w:style w:type="paragraph" w:styleId="727" w:customStyle="1">
    <w:name w:val="Заголовок 41"/>
    <w:basedOn w:val="680"/>
    <w:next w:val="680"/>
    <w:link w:val="7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Heading 4 Char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 w:customStyle="1">
    <w:name w:val="Заголовок 51"/>
    <w:basedOn w:val="680"/>
    <w:next w:val="680"/>
    <w:link w:val="73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5 Char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 w:customStyle="1">
    <w:name w:val="Заголовок 61"/>
    <w:basedOn w:val="680"/>
    <w:next w:val="680"/>
    <w:link w:val="73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32" w:customStyle="1">
    <w:name w:val="Heading 6 Char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 w:customStyle="1">
    <w:name w:val="Заголовок 71"/>
    <w:basedOn w:val="680"/>
    <w:next w:val="680"/>
    <w:link w:val="73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34" w:customStyle="1">
    <w:name w:val="Heading 7 Char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 w:customStyle="1">
    <w:name w:val="Заголовок 81"/>
    <w:basedOn w:val="680"/>
    <w:next w:val="680"/>
    <w:link w:val="73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36" w:customStyle="1">
    <w:name w:val="Heading 8 Char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 w:customStyle="1">
    <w:name w:val="Заголовок 91"/>
    <w:basedOn w:val="680"/>
    <w:next w:val="680"/>
    <w:link w:val="73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Heading 9 Char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680"/>
    <w:next w:val="680"/>
    <w:link w:val="740"/>
    <w:uiPriority w:val="10"/>
    <w:qFormat/>
    <w:pPr>
      <w:contextualSpacing/>
      <w:spacing w:before="300"/>
    </w:pPr>
    <w:rPr>
      <w:sz w:val="48"/>
      <w:szCs w:val="48"/>
    </w:rPr>
  </w:style>
  <w:style w:type="character" w:styleId="740" w:customStyle="1">
    <w:name w:val="Название Знак"/>
    <w:link w:val="739"/>
    <w:uiPriority w:val="10"/>
    <w:rPr>
      <w:sz w:val="48"/>
      <w:szCs w:val="48"/>
    </w:rPr>
  </w:style>
  <w:style w:type="paragraph" w:styleId="741">
    <w:name w:val="Subtitle"/>
    <w:basedOn w:val="680"/>
    <w:next w:val="680"/>
    <w:link w:val="742"/>
    <w:uiPriority w:val="11"/>
    <w:qFormat/>
    <w:pPr>
      <w:spacing w:before="200"/>
    </w:pPr>
    <w:rPr>
      <w:sz w:val="24"/>
      <w:szCs w:val="24"/>
    </w:rPr>
  </w:style>
  <w:style w:type="character" w:styleId="742" w:customStyle="1">
    <w:name w:val="Подзаголовок Знак"/>
    <w:link w:val="741"/>
    <w:uiPriority w:val="11"/>
    <w:rPr>
      <w:sz w:val="24"/>
      <w:szCs w:val="24"/>
    </w:rPr>
  </w:style>
  <w:style w:type="paragraph" w:styleId="743">
    <w:name w:val="Quote"/>
    <w:basedOn w:val="680"/>
    <w:next w:val="680"/>
    <w:link w:val="744"/>
    <w:uiPriority w:val="29"/>
    <w:qFormat/>
    <w:pPr>
      <w:ind w:left="720" w:right="720"/>
    </w:pPr>
    <w:rPr>
      <w:i/>
    </w:rPr>
  </w:style>
  <w:style w:type="character" w:styleId="744" w:customStyle="1">
    <w:name w:val="Цитата 2 Знак"/>
    <w:link w:val="743"/>
    <w:uiPriority w:val="29"/>
    <w:rPr>
      <w:i/>
    </w:rPr>
  </w:style>
  <w:style w:type="paragraph" w:styleId="745">
    <w:name w:val="Intense Quote"/>
    <w:basedOn w:val="680"/>
    <w:next w:val="680"/>
    <w:link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 w:customStyle="1">
    <w:name w:val="Выделенная цитата Знак"/>
    <w:link w:val="745"/>
    <w:uiPriority w:val="30"/>
    <w:rPr>
      <w:i/>
    </w:rPr>
  </w:style>
  <w:style w:type="paragraph" w:styleId="747" w:customStyle="1">
    <w:name w:val="Верхний колонтитул1"/>
    <w:basedOn w:val="680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 w:customStyle="1">
    <w:name w:val="Header Char"/>
    <w:link w:val="747"/>
    <w:uiPriority w:val="99"/>
  </w:style>
  <w:style w:type="paragraph" w:styleId="749" w:customStyle="1">
    <w:name w:val="Нижний колонтитул1"/>
    <w:basedOn w:val="680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 w:customStyle="1">
    <w:name w:val="Footer Char"/>
    <w:link w:val="749"/>
    <w:uiPriority w:val="99"/>
  </w:style>
  <w:style w:type="paragraph" w:styleId="751" w:customStyle="1">
    <w:name w:val="Название объекта1"/>
    <w:basedOn w:val="680"/>
    <w:next w:val="680"/>
    <w:link w:val="75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52" w:customStyle="1">
    <w:name w:val="Caption Char"/>
    <w:link w:val="751"/>
    <w:uiPriority w:val="35"/>
    <w:rPr>
      <w:b/>
      <w:bCs/>
      <w:color w:val="5b9bd5" w:themeColor="accent1"/>
      <w:sz w:val="18"/>
      <w:szCs w:val="18"/>
    </w:rPr>
  </w:style>
  <w:style w:type="table" w:styleId="753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 w:customStyle="1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 w:customStyle="1">
    <w:name w:val="Таблица простая 11"/>
    <w:basedOn w:val="68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 w:customStyle="1">
    <w:name w:val="Таблица простая 2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 w:customStyle="1">
    <w:name w:val="Таблица простая 3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 w:customStyle="1">
    <w:name w:val="Таблица простая 4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Таблица простая 5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 w:customStyle="1">
    <w:name w:val="Таблица-сетка 1 светл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Таблица-сетка 2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Таблица-сетка 3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Таблица-сетка 4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 w:customStyle="1">
    <w:name w:val="Таблица-сетка 5 тем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 w:customStyle="1">
    <w:name w:val="Таблица-сетка 6 цвет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 w:customStyle="1">
    <w:name w:val="Таблица-сетка 7 цвет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Список-таблица 1 светл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Список-таблица 2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 w:customStyle="1">
    <w:name w:val="Список-таблица 3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Список-таблица 4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Список-таблица 5 тем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Список-таблица 6 цвет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 w:customStyle="1">
    <w:name w:val="Список-таблица 7 цветная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563c1" w:themeColor="hyperlink"/>
      <w:u w:val="single"/>
    </w:rPr>
  </w:style>
  <w:style w:type="paragraph" w:styleId="880">
    <w:name w:val="footnote text"/>
    <w:basedOn w:val="680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 w:customStyle="1">
    <w:name w:val="Текст сноски Знак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680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 w:customStyle="1">
    <w:name w:val="Текст концевой сноски Знак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680"/>
    <w:next w:val="680"/>
    <w:uiPriority w:val="39"/>
    <w:unhideWhenUsed/>
    <w:pPr>
      <w:spacing w:after="57"/>
    </w:pPr>
  </w:style>
  <w:style w:type="paragraph" w:styleId="887">
    <w:name w:val="toc 2"/>
    <w:basedOn w:val="680"/>
    <w:next w:val="680"/>
    <w:uiPriority w:val="39"/>
    <w:unhideWhenUsed/>
    <w:pPr>
      <w:ind w:left="283"/>
      <w:spacing w:after="57"/>
    </w:pPr>
  </w:style>
  <w:style w:type="paragraph" w:styleId="888">
    <w:name w:val="toc 3"/>
    <w:basedOn w:val="680"/>
    <w:next w:val="680"/>
    <w:uiPriority w:val="39"/>
    <w:unhideWhenUsed/>
    <w:pPr>
      <w:ind w:left="567"/>
      <w:spacing w:after="57"/>
    </w:pPr>
  </w:style>
  <w:style w:type="paragraph" w:styleId="889">
    <w:name w:val="toc 4"/>
    <w:basedOn w:val="680"/>
    <w:next w:val="680"/>
    <w:uiPriority w:val="39"/>
    <w:unhideWhenUsed/>
    <w:pPr>
      <w:ind w:left="850"/>
      <w:spacing w:after="57"/>
    </w:pPr>
  </w:style>
  <w:style w:type="paragraph" w:styleId="890">
    <w:name w:val="toc 5"/>
    <w:basedOn w:val="680"/>
    <w:next w:val="680"/>
    <w:uiPriority w:val="39"/>
    <w:unhideWhenUsed/>
    <w:pPr>
      <w:ind w:left="1134"/>
      <w:spacing w:after="57"/>
    </w:pPr>
  </w:style>
  <w:style w:type="paragraph" w:styleId="891">
    <w:name w:val="toc 6"/>
    <w:basedOn w:val="680"/>
    <w:next w:val="680"/>
    <w:uiPriority w:val="39"/>
    <w:unhideWhenUsed/>
    <w:pPr>
      <w:ind w:left="1417"/>
      <w:spacing w:after="57"/>
    </w:pPr>
  </w:style>
  <w:style w:type="paragraph" w:styleId="892">
    <w:name w:val="toc 7"/>
    <w:basedOn w:val="680"/>
    <w:next w:val="680"/>
    <w:uiPriority w:val="39"/>
    <w:unhideWhenUsed/>
    <w:pPr>
      <w:ind w:left="1701"/>
      <w:spacing w:after="57"/>
    </w:pPr>
  </w:style>
  <w:style w:type="paragraph" w:styleId="893">
    <w:name w:val="toc 8"/>
    <w:basedOn w:val="680"/>
    <w:next w:val="680"/>
    <w:uiPriority w:val="39"/>
    <w:unhideWhenUsed/>
    <w:pPr>
      <w:ind w:left="1984"/>
      <w:spacing w:after="57"/>
    </w:pPr>
  </w:style>
  <w:style w:type="paragraph" w:styleId="894">
    <w:name w:val="toc 9"/>
    <w:basedOn w:val="680"/>
    <w:next w:val="680"/>
    <w:uiPriority w:val="39"/>
    <w:unhideWhenUsed/>
    <w:pPr>
      <w:ind w:left="2268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680"/>
    <w:next w:val="680"/>
    <w:uiPriority w:val="99"/>
    <w:unhideWhenUsed/>
    <w:pPr>
      <w:spacing w:after="0"/>
    </w:pPr>
  </w:style>
  <w:style w:type="paragraph" w:styleId="897">
    <w:name w:val="No Spacing"/>
    <w:basedOn w:val="680"/>
    <w:uiPriority w:val="1"/>
    <w:qFormat/>
    <w:pPr>
      <w:spacing w:after="0" w:line="240" w:lineRule="auto"/>
    </w:pPr>
  </w:style>
  <w:style w:type="paragraph" w:styleId="898">
    <w:name w:val="List Paragraph"/>
    <w:basedOn w:val="680"/>
    <w:uiPriority w:val="34"/>
    <w:qFormat/>
    <w:pPr>
      <w:contextualSpacing/>
      <w:ind w:left="720"/>
    </w:pPr>
  </w:style>
  <w:style w:type="paragraph" w:styleId="899" w:customStyle="1">
    <w:name w:val="ConsPlusNormal"/>
    <w:pPr>
      <w:ind w:firstLine="720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sz w:val="20"/>
      <w:szCs w:val="20"/>
      <w:lang w:eastAsia="ru-RU"/>
    </w:rPr>
  </w:style>
  <w:style w:type="paragraph" w:styleId="900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01" w:customStyle="1">
    <w:name w:val="Знак примечания1"/>
    <w:uiPriority w:val="99"/>
    <w:semiHidden/>
    <w:unhideWhenUsed/>
    <w:rPr>
      <w:sz w:val="16"/>
      <w:szCs w:val="16"/>
    </w:rPr>
  </w:style>
  <w:style w:type="paragraph" w:styleId="902" w:customStyle="1">
    <w:name w:val="Основной текст1"/>
    <w:uiPriority w:val="1"/>
    <w:qFormat/>
    <w:pPr>
      <w:ind w:left="143" w:firstLine="707"/>
      <w:jc w:val="both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6"/>
      <w:szCs w:val="26"/>
    </w:rPr>
  </w:style>
  <w:style w:type="paragraph" w:styleId="903" w:customStyle="1">
    <w:name w:val="Основной текст1"/>
    <w:qFormat/>
    <w:pPr>
      <w:ind w:firstLine="400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8"/>
      <w:szCs w:val="28"/>
      <w:lang w:val="en-US" w:eastAsia="ru-RU"/>
    </w:rPr>
  </w:style>
  <w:style w:type="paragraph" w:styleId="904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5">
    <w:name w:val="annotation text"/>
    <w:basedOn w:val="680"/>
    <w:link w:val="90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6" w:customStyle="1">
    <w:name w:val="Текст примечания Знак"/>
    <w:basedOn w:val="681"/>
    <w:link w:val="905"/>
    <w:uiPriority w:val="99"/>
    <w:semiHidden/>
    <w:rPr>
      <w:sz w:val="20"/>
      <w:szCs w:val="20"/>
    </w:rPr>
  </w:style>
  <w:style w:type="character" w:styleId="907">
    <w:name w:val="annotation reference"/>
    <w:basedOn w:val="681"/>
    <w:uiPriority w:val="99"/>
    <w:semiHidden/>
    <w:unhideWhenUsed/>
    <w:rPr>
      <w:sz w:val="16"/>
      <w:szCs w:val="16"/>
    </w:rPr>
  </w:style>
  <w:style w:type="paragraph" w:styleId="908">
    <w:name w:val="Balloon Text"/>
    <w:basedOn w:val="680"/>
    <w:link w:val="90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681"/>
    <w:link w:val="908"/>
    <w:uiPriority w:val="99"/>
    <w:semiHidden/>
    <w:rPr>
      <w:rFonts w:ascii="Tahoma" w:hAnsi="Tahoma" w:cs="Tahoma"/>
      <w:sz w:val="16"/>
      <w:szCs w:val="16"/>
    </w:rPr>
  </w:style>
  <w:style w:type="paragraph" w:styleId="910">
    <w:name w:val="annotation subject"/>
    <w:basedOn w:val="905"/>
    <w:next w:val="905"/>
    <w:link w:val="911"/>
    <w:uiPriority w:val="99"/>
    <w:semiHidden/>
    <w:unhideWhenUsed/>
    <w:rPr>
      <w:b/>
      <w:bCs/>
    </w:rPr>
  </w:style>
  <w:style w:type="character" w:styleId="911" w:customStyle="1">
    <w:name w:val="Тема примечания Знак"/>
    <w:basedOn w:val="906"/>
    <w:link w:val="910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login.consultant.ru/link/?req=doc&amp;base=LAW&amp;n=523235&amp;dst=100093" TargetMode="External"/><Relationship Id="rId11" Type="http://schemas.openxmlformats.org/officeDocument/2006/relationships/hyperlink" Target="https://internet.garant.ru/" TargetMode="External"/><Relationship Id="rId12" Type="http://schemas.openxmlformats.org/officeDocument/2006/relationships/hyperlink" Target="mailto:goradm@adm-nmar.ru." TargetMode="External"/><Relationship Id="rId13" Type="http://schemas.openxmlformats.org/officeDocument/2006/relationships/hyperlink" Target="http://www.adm-nmar.ru/" TargetMode="External"/><Relationship Id="rId14" Type="http://schemas.openxmlformats.org/officeDocument/2006/relationships/image" Target="media/image2.png"/><Relationship Id="rId15" Type="http://schemas.openxmlformats.org/officeDocument/2006/relationships/hyperlink" Target="https://login.consultant.ru/link/?req=doc&amp;base=SPB&amp;n=324440&amp;dst=100198" TargetMode="External"/><Relationship Id="rId16" Type="http://schemas.openxmlformats.org/officeDocument/2006/relationships/hyperlink" Target="https://login.consultant.ru/link/?req=doc&amp;base=SPB&amp;n=324440&amp;dst=100198" TargetMode="External"/><Relationship Id="rId17" Type="http://schemas.openxmlformats.org/officeDocument/2006/relationships/hyperlink" Target="https://login.consultant.ru/link/?req=doc&amp;base=SPB&amp;n=324440&amp;dst=10019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Николаевна</dc:creator>
  <cp:lastModifiedBy>azlobin@mo.adm-nmar.ru</cp:lastModifiedBy>
  <cp:revision>14</cp:revision>
  <dcterms:created xsi:type="dcterms:W3CDTF">2026-08-24T06:44:00Z</dcterms:created>
  <dcterms:modified xsi:type="dcterms:W3CDTF">2026-08-31T07:38:34Z</dcterms:modified>
</cp:coreProperties>
</file>