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942" w:rsidRPr="00475FE4">
        <w:rPr>
          <w:rFonts w:ascii="Times New Roman" w:hAnsi="Times New Roman" w:cs="Times New Roman"/>
          <w:b/>
          <w:sz w:val="26"/>
          <w:szCs w:val="26"/>
        </w:rPr>
        <w:t>"</w:t>
      </w:r>
      <w:r w:rsidR="00475FE4" w:rsidRPr="00475F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</w:t>
      </w:r>
      <w:r w:rsidR="00475FE4" w:rsidRPr="00475FE4">
        <w:rPr>
          <w:rFonts w:ascii="Times New Roman" w:hAnsi="Times New Roman" w:cs="Times New Roman"/>
          <w:b/>
          <w:sz w:val="26"/>
          <w:szCs w:val="26"/>
        </w:rPr>
        <w:t>постановление Администрации муниципального образования "Городской округ "Город Нарьян-Мар" от 18.10.2021 № 1267</w:t>
      </w:r>
      <w:r w:rsidR="00475FE4" w:rsidRPr="00475F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75FE4" w:rsidRPr="00475FE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912942" w:rsidRPr="00475FE4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475FE4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29562D">
        <w:rPr>
          <w:rFonts w:ascii="Times New Roman" w:hAnsi="Times New Roman" w:cs="Times New Roman"/>
          <w:sz w:val="26"/>
          <w:szCs w:val="26"/>
        </w:rPr>
        <w:br/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61243A" w:rsidRPr="00D40EE8">
        <w:rPr>
          <w:rFonts w:ascii="Times New Roman" w:hAnsi="Times New Roman" w:cs="Times New Roman"/>
          <w:sz w:val="26"/>
          <w:szCs w:val="26"/>
        </w:rPr>
        <w:t>"</w:t>
      </w:r>
      <w:r w:rsidRPr="00475FE4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475FE4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"Городской округ "Город Нарьян-Мар" от 18.10.2021 № 1267</w:t>
      </w:r>
      <w:r w:rsidRPr="00475F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5FE4">
        <w:rPr>
          <w:rFonts w:ascii="Times New Roman" w:eastAsiaTheme="minorHAnsi" w:hAnsi="Times New Roman" w:cs="Times New Roman"/>
          <w:sz w:val="26"/>
          <w:szCs w:val="26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61243A" w:rsidRPr="00D40EE8">
        <w:rPr>
          <w:rFonts w:ascii="Times New Roman" w:hAnsi="Times New Roman" w:cs="Times New Roman"/>
          <w:sz w:val="26"/>
          <w:szCs w:val="26"/>
        </w:rPr>
        <w:t>"</w:t>
      </w:r>
      <w:r w:rsidR="00E61F9A"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 xml:space="preserve">НРО ООО "Деловая Россия", 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>а так же ИП Сылке А.С.,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Кокориной О.П.,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 xml:space="preserve"> Осташову А.А.,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Самойловой Н.С., ИП Волоско Н.Д.,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 xml:space="preserve"> Ледкову И.Н.,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>Юферевой Е.Т., ИП Машковой Р.Е.,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>ООО "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Минеральные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 xml:space="preserve"> воды Заполярья"</w:t>
      </w:r>
      <w:r w:rsidR="008C69BC">
        <w:rPr>
          <w:rFonts w:ascii="Times New Roman" w:hAnsi="Times New Roman" w:cs="Times New Roman"/>
          <w:bCs/>
          <w:sz w:val="26"/>
          <w:szCs w:val="26"/>
        </w:rPr>
        <w:t>, ООО "ГРИН ЛАЙТ ПРО", ИП Акопяну Э.А., ИП Осичеву А.А., ИП Кокур</w:t>
      </w:r>
      <w:bookmarkStart w:id="0" w:name="_GoBack"/>
      <w:bookmarkEnd w:id="0"/>
      <w:r w:rsidR="008C69BC">
        <w:rPr>
          <w:rFonts w:ascii="Times New Roman" w:hAnsi="Times New Roman" w:cs="Times New Roman"/>
          <w:bCs/>
          <w:sz w:val="26"/>
          <w:szCs w:val="26"/>
        </w:rPr>
        <w:t>ин Е.Е., ИП Горелов С.В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E75793" w:rsidRPr="00367A2F" w:rsidRDefault="00E61F9A" w:rsidP="0052794C">
      <w:pPr>
        <w:spacing w:before="0"/>
        <w:ind w:left="0" w:right="-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835"/>
      </w:tblGrid>
      <w:tr w:rsidR="0006643C" w:rsidRPr="00367A2F" w:rsidTr="00367A2F">
        <w:trPr>
          <w:trHeight w:val="824"/>
        </w:trPr>
        <w:tc>
          <w:tcPr>
            <w:tcW w:w="567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536" w:type="dxa"/>
            <w:vAlign w:val="center"/>
          </w:tcPr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</w:t>
            </w:r>
            <w:r w:rsidR="00E75793" w:rsidRPr="00367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r w:rsidR="0069536D"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F0609F" w:rsidRPr="00367A2F" w:rsidTr="00367A2F">
        <w:trPr>
          <w:trHeight w:val="888"/>
        </w:trPr>
        <w:tc>
          <w:tcPr>
            <w:tcW w:w="567" w:type="dxa"/>
            <w:vAlign w:val="center"/>
          </w:tcPr>
          <w:p w:rsidR="00F0609F" w:rsidRPr="00367A2F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0609F" w:rsidRPr="00367A2F" w:rsidRDefault="005B4D81" w:rsidP="008C69BC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ИП </w:t>
            </w:r>
            <w:r w:rsidR="008C69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Кокорина</w:t>
            </w:r>
            <w:r w:rsidR="005279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О.П.</w:t>
            </w:r>
          </w:p>
        </w:tc>
        <w:tc>
          <w:tcPr>
            <w:tcW w:w="4536" w:type="dxa"/>
            <w:vAlign w:val="center"/>
          </w:tcPr>
          <w:p w:rsidR="00CC0EB4" w:rsidRPr="0052794C" w:rsidRDefault="0052794C" w:rsidP="0052794C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94C">
              <w:rPr>
                <w:rFonts w:ascii="Times New Roman" w:hAnsi="Times New Roman" w:cs="Times New Roman"/>
                <w:sz w:val="20"/>
                <w:szCs w:val="20"/>
              </w:rPr>
              <w:t>Предлагаю рассмотреть вариант, что в случае недостаточности денежных средств для признания участника отбора получателем субсидии и предоставления ему субсидии в размере, указанном в заявке, то участник отбора с его согласия признается получателем субсидии в пределах остатка лимитов бюджетных обязательств. В случае отказа участника отбора от признания его получателем субсидии в пределах остатка лимитов бюджетных обязательств рассматривается заявка следующего участника отбора в порядке очередности.</w:t>
            </w:r>
          </w:p>
        </w:tc>
        <w:tc>
          <w:tcPr>
            <w:tcW w:w="2835" w:type="dxa"/>
            <w:vAlign w:val="center"/>
          </w:tcPr>
          <w:p w:rsidR="00D15717" w:rsidRPr="00367A2F" w:rsidRDefault="00367A2F" w:rsidP="0052794C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</w:tbl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52794C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95" w:rsidRDefault="00235D95" w:rsidP="00851281">
      <w:pPr>
        <w:spacing w:before="0"/>
      </w:pPr>
      <w:r>
        <w:separator/>
      </w:r>
    </w:p>
  </w:endnote>
  <w:endnote w:type="continuationSeparator" w:id="0">
    <w:p w:rsidR="00235D95" w:rsidRDefault="00235D95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95" w:rsidRDefault="00235D95" w:rsidP="00851281">
      <w:pPr>
        <w:spacing w:before="0"/>
      </w:pPr>
      <w:r>
        <w:separator/>
      </w:r>
    </w:p>
  </w:footnote>
  <w:footnote w:type="continuationSeparator" w:id="0">
    <w:p w:rsidR="00235D95" w:rsidRDefault="00235D95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35D95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D430D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528C-C57C-40AA-9CFD-9EEF276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Оленицкая Виктория Сергеевна</cp:lastModifiedBy>
  <cp:revision>6</cp:revision>
  <cp:lastPrinted>2019-09-23T09:14:00Z</cp:lastPrinted>
  <dcterms:created xsi:type="dcterms:W3CDTF">2021-09-23T13:01:00Z</dcterms:created>
  <dcterms:modified xsi:type="dcterms:W3CDTF">2022-08-02T10:59:00Z</dcterms:modified>
</cp:coreProperties>
</file>