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991757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991757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481A08" w:rsidRPr="00991757" w:rsidRDefault="00E61F9A" w:rsidP="0099175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1757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hyperlink w:anchor="P31" w:history="1">
        <w:r w:rsidR="00991757" w:rsidRPr="00991757">
          <w:rPr>
            <w:rFonts w:ascii="Times New Roman" w:hAnsi="Times New Roman" w:cs="Times New Roman"/>
            <w:b w:val="0"/>
            <w:sz w:val="26"/>
            <w:szCs w:val="26"/>
          </w:rPr>
          <w:t>Порядк</w:t>
        </w:r>
      </w:hyperlink>
      <w:r w:rsidR="00991757" w:rsidRPr="00991757">
        <w:rPr>
          <w:rFonts w:ascii="Times New Roman" w:hAnsi="Times New Roman" w:cs="Times New Roman"/>
          <w:b w:val="0"/>
          <w:sz w:val="26"/>
          <w:szCs w:val="26"/>
        </w:rPr>
        <w:t>у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утвержденного постановлением Администрации МО "Городской округ "Город Нарьян-Мар" от 10.12.2018 № 972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2372D0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 w:rsidRPr="003C6147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</w:t>
      </w:r>
      <w:r w:rsidRPr="007F0E7A">
        <w:rPr>
          <w:rFonts w:ascii="Times New Roman" w:hAnsi="Times New Roman" w:cs="Times New Roman"/>
          <w:sz w:val="26"/>
          <w:szCs w:val="26"/>
        </w:rPr>
        <w:t xml:space="preserve">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</w:t>
      </w:r>
      <w:r w:rsidRPr="002372D0">
        <w:rPr>
          <w:rFonts w:ascii="Times New Roman" w:hAnsi="Times New Roman" w:cs="Times New Roman"/>
          <w:sz w:val="26"/>
          <w:szCs w:val="26"/>
        </w:rPr>
        <w:t>Нарьян-Мар" от 26.12.2014 № 3354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2372D0">
        <w:rPr>
          <w:rFonts w:ascii="Times New Roman" w:hAnsi="Times New Roman" w:cs="Times New Roman"/>
          <w:sz w:val="26"/>
          <w:szCs w:val="26"/>
        </w:rPr>
        <w:t>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31" w:history="1">
        <w:r w:rsidR="007635BA" w:rsidRPr="007635BA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7635BA" w:rsidRPr="007635BA">
        <w:rPr>
          <w:rFonts w:ascii="Times New Roman" w:hAnsi="Times New Roman" w:cs="Times New Roman"/>
          <w:sz w:val="26"/>
          <w:szCs w:val="26"/>
        </w:rPr>
        <w:t>у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утвержденного постановлением Администрации МО "Городской округ "Город Нарьян-Мар" от 10.12.2018 № 972</w:t>
      </w:r>
      <w:r w:rsidR="00FD2F8C" w:rsidRPr="007635BA">
        <w:rPr>
          <w:rFonts w:ascii="Times New Roman" w:eastAsia="Calibri" w:hAnsi="Times New Roman" w:cs="Times New Roman"/>
          <w:sz w:val="26"/>
          <w:szCs w:val="26"/>
        </w:rPr>
        <w:t xml:space="preserve"> (дале</w:t>
      </w:r>
      <w:r w:rsidR="00FD2F8C">
        <w:rPr>
          <w:rFonts w:ascii="Times New Roman" w:eastAsia="Calibri" w:hAnsi="Times New Roman" w:cs="Times New Roman"/>
          <w:sz w:val="26"/>
          <w:szCs w:val="26"/>
        </w:rPr>
        <w:t xml:space="preserve">е – </w:t>
      </w:r>
      <w:r w:rsidR="00565960"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2372D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96090D" w:rsidRPr="00C73FF0" w:rsidRDefault="008E6C75" w:rsidP="00C73FF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96090D">
        <w:rPr>
          <w:rFonts w:ascii="Times New Roman" w:hAnsi="Times New Roman" w:cs="Times New Roman"/>
          <w:sz w:val="26"/>
          <w:szCs w:val="26"/>
        </w:rPr>
        <w:t>на </w:t>
      </w:r>
      <w:r w:rsidRPr="007F0E7A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9609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0E7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</w:t>
      </w:r>
      <w:r w:rsidR="00565960">
        <w:rPr>
          <w:rFonts w:ascii="Times New Roman" w:hAnsi="Times New Roman" w:cs="Times New Roman"/>
          <w:sz w:val="26"/>
          <w:szCs w:val="26"/>
        </w:rPr>
        <w:t>Экспертиза действующих НПА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ной </w:t>
      </w:r>
      <w:r w:rsidR="00081F5B" w:rsidRPr="00C73FF0">
        <w:rPr>
          <w:rFonts w:ascii="Times New Roman" w:hAnsi="Times New Roman" w:cs="Times New Roman"/>
          <w:sz w:val="26"/>
          <w:szCs w:val="26"/>
        </w:rPr>
        <w:t>ленте</w:t>
      </w:r>
      <w:r w:rsidR="0006643C" w:rsidRPr="00C73F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643C" w:rsidRPr="00C73FF0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C73FF0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C73FF0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C73FF0">
        <w:rPr>
          <w:rFonts w:ascii="Times New Roman" w:hAnsi="Times New Roman" w:cs="Times New Roman"/>
          <w:bCs/>
          <w:sz w:val="26"/>
          <w:szCs w:val="26"/>
        </w:rPr>
        <w:t>АО</w:t>
      </w:r>
      <w:r w:rsidR="007D39BE" w:rsidRPr="00C73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C73FF0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="0006643C" w:rsidRPr="00C73FF0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 в Ненецком автономном округе</w:t>
      </w:r>
      <w:r w:rsidR="00565960" w:rsidRPr="00C73FF0">
        <w:rPr>
          <w:rFonts w:ascii="Times New Roman" w:hAnsi="Times New Roman" w:cs="Times New Roman"/>
          <w:sz w:val="26"/>
          <w:szCs w:val="26"/>
        </w:rPr>
        <w:t>, ИП Джафарову Д.М., ИП </w:t>
      </w:r>
      <w:proofErr w:type="spellStart"/>
      <w:r w:rsidR="00565960" w:rsidRPr="00C73FF0">
        <w:rPr>
          <w:rFonts w:ascii="Times New Roman" w:hAnsi="Times New Roman" w:cs="Times New Roman"/>
          <w:bCs/>
          <w:sz w:val="26"/>
        </w:rPr>
        <w:t>Садыгову</w:t>
      </w:r>
      <w:proofErr w:type="spellEnd"/>
      <w:r w:rsidR="00565960" w:rsidRPr="00C73FF0">
        <w:rPr>
          <w:rFonts w:ascii="Times New Roman" w:hAnsi="Times New Roman" w:cs="Times New Roman"/>
          <w:bCs/>
          <w:sz w:val="26"/>
        </w:rPr>
        <w:t> Х.М.</w:t>
      </w:r>
      <w:r w:rsidR="00565960" w:rsidRPr="00C73FF0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565960" w:rsidRPr="00C73FF0">
        <w:rPr>
          <w:rFonts w:ascii="Times New Roman" w:hAnsi="Times New Roman" w:cs="Times New Roman"/>
          <w:bCs/>
          <w:sz w:val="26"/>
        </w:rPr>
        <w:t>Магеррамову</w:t>
      </w:r>
      <w:proofErr w:type="spellEnd"/>
      <w:r w:rsidR="00565960" w:rsidRPr="00C73FF0">
        <w:rPr>
          <w:rFonts w:ascii="Times New Roman" w:hAnsi="Times New Roman" w:cs="Times New Roman"/>
          <w:bCs/>
          <w:sz w:val="26"/>
        </w:rPr>
        <w:t xml:space="preserve"> М.М., ИП Петрову В.В., ИП </w:t>
      </w:r>
      <w:proofErr w:type="spellStart"/>
      <w:r w:rsidR="00565960" w:rsidRPr="00C73FF0">
        <w:rPr>
          <w:rFonts w:ascii="Times New Roman" w:hAnsi="Times New Roman" w:cs="Times New Roman"/>
          <w:bCs/>
          <w:sz w:val="26"/>
        </w:rPr>
        <w:t>Гадирову</w:t>
      </w:r>
      <w:proofErr w:type="spellEnd"/>
      <w:r w:rsidR="00565960" w:rsidRPr="00C73FF0">
        <w:rPr>
          <w:rFonts w:ascii="Times New Roman" w:hAnsi="Times New Roman" w:cs="Times New Roman"/>
          <w:bCs/>
          <w:sz w:val="26"/>
        </w:rPr>
        <w:t xml:space="preserve"> Р.Я.</w:t>
      </w:r>
      <w:proofErr w:type="gramEnd"/>
      <w:r w:rsidR="00565960" w:rsidRPr="00C73FF0">
        <w:rPr>
          <w:rFonts w:ascii="Times New Roman" w:hAnsi="Times New Roman" w:cs="Times New Roman"/>
          <w:bCs/>
          <w:sz w:val="26"/>
        </w:rPr>
        <w:t xml:space="preserve">, ИП </w:t>
      </w:r>
      <w:proofErr w:type="spellStart"/>
      <w:r w:rsidR="00565960" w:rsidRPr="00C73FF0">
        <w:rPr>
          <w:rFonts w:ascii="Times New Roman" w:hAnsi="Times New Roman" w:cs="Times New Roman"/>
          <w:bCs/>
          <w:sz w:val="26"/>
        </w:rPr>
        <w:t>Сеидову</w:t>
      </w:r>
      <w:proofErr w:type="spellEnd"/>
      <w:r w:rsidR="00565960" w:rsidRPr="00C73FF0">
        <w:rPr>
          <w:rFonts w:ascii="Times New Roman" w:hAnsi="Times New Roman" w:cs="Times New Roman"/>
          <w:bCs/>
          <w:sz w:val="26"/>
        </w:rPr>
        <w:t xml:space="preserve"> И.Г., ИП </w:t>
      </w:r>
      <w:proofErr w:type="spellStart"/>
      <w:r w:rsidR="00565960" w:rsidRPr="00C73FF0">
        <w:rPr>
          <w:rFonts w:ascii="Times New Roman" w:hAnsi="Times New Roman" w:cs="Times New Roman"/>
          <w:bCs/>
          <w:sz w:val="26"/>
        </w:rPr>
        <w:t>Ибишову</w:t>
      </w:r>
      <w:proofErr w:type="spellEnd"/>
      <w:r w:rsidR="00565960" w:rsidRPr="00C73FF0">
        <w:rPr>
          <w:rFonts w:ascii="Times New Roman" w:hAnsi="Times New Roman" w:cs="Times New Roman"/>
          <w:bCs/>
          <w:sz w:val="26"/>
        </w:rPr>
        <w:t xml:space="preserve"> З.А.</w:t>
      </w:r>
      <w:r w:rsidR="00211BD9" w:rsidRPr="00C73FF0">
        <w:rPr>
          <w:rFonts w:ascii="Times New Roman" w:hAnsi="Times New Roman" w:cs="Times New Roman"/>
          <w:bCs/>
          <w:sz w:val="26"/>
        </w:rPr>
        <w:t xml:space="preserve">, ИП </w:t>
      </w:r>
      <w:proofErr w:type="spellStart"/>
      <w:r w:rsidR="00211BD9" w:rsidRPr="00C73FF0">
        <w:rPr>
          <w:rFonts w:ascii="Times New Roman" w:hAnsi="Times New Roman" w:cs="Times New Roman"/>
          <w:bCs/>
          <w:sz w:val="26"/>
        </w:rPr>
        <w:t>Киргуевой</w:t>
      </w:r>
      <w:proofErr w:type="spellEnd"/>
      <w:r w:rsidR="00211BD9" w:rsidRPr="00C73FF0">
        <w:rPr>
          <w:rFonts w:ascii="Times New Roman" w:hAnsi="Times New Roman" w:cs="Times New Roman"/>
          <w:bCs/>
          <w:sz w:val="26"/>
        </w:rPr>
        <w:t xml:space="preserve"> З.В., Главе крестьянского (фермерского) хозяйства Попову А.В., ИП </w:t>
      </w:r>
      <w:r w:rsidR="00935C75" w:rsidRPr="00C73FF0">
        <w:rPr>
          <w:rFonts w:ascii="Times New Roman" w:hAnsi="Times New Roman" w:cs="Times New Roman"/>
          <w:bCs/>
          <w:sz w:val="26"/>
        </w:rPr>
        <w:t xml:space="preserve">Сулейманову Э.И., </w:t>
      </w:r>
      <w:r w:rsidR="00C57902" w:rsidRPr="00C73FF0">
        <w:rPr>
          <w:rFonts w:ascii="Times New Roman" w:hAnsi="Times New Roman" w:cs="Times New Roman"/>
          <w:bCs/>
          <w:sz w:val="26"/>
        </w:rPr>
        <w:t xml:space="preserve">ИП Гаджиеву М.А., ИП </w:t>
      </w:r>
      <w:proofErr w:type="spellStart"/>
      <w:r w:rsidR="00C57902" w:rsidRPr="00C73FF0">
        <w:rPr>
          <w:rFonts w:ascii="Times New Roman" w:hAnsi="Times New Roman" w:cs="Times New Roman"/>
          <w:bCs/>
          <w:sz w:val="26"/>
        </w:rPr>
        <w:t>Осташов</w:t>
      </w:r>
      <w:proofErr w:type="spellEnd"/>
      <w:r w:rsidR="00C57902" w:rsidRPr="00C73FF0">
        <w:rPr>
          <w:rFonts w:ascii="Times New Roman" w:hAnsi="Times New Roman" w:cs="Times New Roman"/>
          <w:bCs/>
          <w:sz w:val="26"/>
        </w:rPr>
        <w:t xml:space="preserve"> С.Н., ИП </w:t>
      </w:r>
      <w:proofErr w:type="spellStart"/>
      <w:r w:rsidR="00C57902" w:rsidRPr="00C73FF0">
        <w:rPr>
          <w:rFonts w:ascii="Times New Roman" w:hAnsi="Times New Roman" w:cs="Times New Roman"/>
          <w:bCs/>
          <w:sz w:val="26"/>
        </w:rPr>
        <w:t>Юматовой</w:t>
      </w:r>
      <w:proofErr w:type="spellEnd"/>
      <w:r w:rsidR="00C57902" w:rsidRPr="00C73FF0">
        <w:rPr>
          <w:rFonts w:ascii="Times New Roman" w:hAnsi="Times New Roman" w:cs="Times New Roman"/>
          <w:bCs/>
          <w:sz w:val="26"/>
        </w:rPr>
        <w:t xml:space="preserve"> Г.С.</w:t>
      </w:r>
    </w:p>
    <w:p w:rsidR="000A04E4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публичных консультаций с </w:t>
      </w:r>
      <w:r w:rsidR="00C73FF0">
        <w:rPr>
          <w:rFonts w:ascii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73FF0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.2019 по </w:t>
      </w:r>
      <w:r w:rsidR="00C73FF0">
        <w:rPr>
          <w:rFonts w:ascii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73FF0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.2019.</w:t>
      </w:r>
    </w:p>
    <w:p w:rsidR="00C73FF0" w:rsidRDefault="00C73FF0" w:rsidP="00C73FF0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консультаций.</w:t>
      </w:r>
    </w:p>
    <w:p w:rsidR="00C73FF0" w:rsidRDefault="00C73FF0" w:rsidP="00C73FF0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C73FF0" w:rsidTr="00244EC7">
        <w:tc>
          <w:tcPr>
            <w:tcW w:w="814" w:type="dxa"/>
          </w:tcPr>
          <w:p w:rsidR="00C73FF0" w:rsidRDefault="00C73FF0" w:rsidP="00244EC7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C73FF0" w:rsidRDefault="00C73FF0" w:rsidP="00244EC7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C73FF0" w:rsidRDefault="00C73FF0" w:rsidP="00244EC7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C73FF0" w:rsidRDefault="00C73FF0" w:rsidP="00244EC7">
            <w:pPr>
              <w:ind w:left="0" w:right="-1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C73FF0" w:rsidTr="00244EC7">
        <w:tc>
          <w:tcPr>
            <w:tcW w:w="814" w:type="dxa"/>
          </w:tcPr>
          <w:p w:rsidR="00C73FF0" w:rsidRDefault="00C73FF0" w:rsidP="00244EC7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3FF0" w:rsidRPr="00D655A2" w:rsidRDefault="00C73FF0" w:rsidP="00244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2" w:type="dxa"/>
          </w:tcPr>
          <w:p w:rsidR="00C73FF0" w:rsidRDefault="00244EC7" w:rsidP="00244EC7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FF0">
              <w:rPr>
                <w:rFonts w:ascii="Times New Roman" w:hAnsi="Times New Roman" w:cs="Times New Roman"/>
                <w:bCs/>
                <w:sz w:val="26"/>
                <w:szCs w:val="26"/>
              </w:rPr>
              <w:t>АО "Центр развития бизнеса НАО"</w:t>
            </w:r>
          </w:p>
        </w:tc>
        <w:tc>
          <w:tcPr>
            <w:tcW w:w="3867" w:type="dxa"/>
          </w:tcPr>
          <w:p w:rsidR="00C73FF0" w:rsidRPr="00CA7AE6" w:rsidRDefault="00C73FF0" w:rsidP="00244EC7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 отсутствуют.</w:t>
            </w:r>
          </w:p>
        </w:tc>
        <w:tc>
          <w:tcPr>
            <w:tcW w:w="3412" w:type="dxa"/>
          </w:tcPr>
          <w:p w:rsidR="00C73FF0" w:rsidRPr="00D832C0" w:rsidRDefault="00C73FF0" w:rsidP="00244EC7">
            <w:pPr>
              <w:pStyle w:val="ConsPlusNormal"/>
              <w:ind w:left="327"/>
              <w:jc w:val="both"/>
            </w:pPr>
          </w:p>
        </w:tc>
      </w:tr>
      <w:tr w:rsidR="00244EC7" w:rsidTr="00244EC7">
        <w:tc>
          <w:tcPr>
            <w:tcW w:w="814" w:type="dxa"/>
          </w:tcPr>
          <w:p w:rsidR="00244EC7" w:rsidRDefault="00244EC7" w:rsidP="00244EC7">
            <w:pPr>
              <w:tabs>
                <w:tab w:val="left" w:pos="175"/>
              </w:tabs>
              <w:ind w:left="0" w:right="-287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2" w:type="dxa"/>
          </w:tcPr>
          <w:p w:rsidR="00244EC7" w:rsidRPr="00C73FF0" w:rsidRDefault="00244EC7" w:rsidP="00244EC7">
            <w:pPr>
              <w:ind w:left="0" w:right="-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3FF0">
              <w:rPr>
                <w:rFonts w:ascii="Times New Roman" w:hAnsi="Times New Roman" w:cs="Times New Roman"/>
                <w:bCs/>
                <w:sz w:val="26"/>
              </w:rPr>
              <w:t xml:space="preserve">ИП </w:t>
            </w:r>
            <w:proofErr w:type="spellStart"/>
            <w:r w:rsidRPr="00C73FF0">
              <w:rPr>
                <w:rFonts w:ascii="Times New Roman" w:hAnsi="Times New Roman" w:cs="Times New Roman"/>
                <w:bCs/>
                <w:sz w:val="26"/>
              </w:rPr>
              <w:t>Юматовой</w:t>
            </w:r>
            <w:proofErr w:type="spellEnd"/>
            <w:r w:rsidRPr="00C73FF0">
              <w:rPr>
                <w:rFonts w:ascii="Times New Roman" w:hAnsi="Times New Roman" w:cs="Times New Roman"/>
                <w:bCs/>
                <w:sz w:val="26"/>
              </w:rPr>
              <w:t xml:space="preserve"> Г.С.</w:t>
            </w:r>
          </w:p>
        </w:tc>
        <w:tc>
          <w:tcPr>
            <w:tcW w:w="3867" w:type="dxa"/>
          </w:tcPr>
          <w:p w:rsidR="00244EC7" w:rsidRDefault="00244EC7" w:rsidP="0082220E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r w:rsidR="0082220E">
              <w:rPr>
                <w:rFonts w:ascii="Times New Roman" w:hAnsi="Times New Roman" w:cs="Times New Roman"/>
                <w:sz w:val="26"/>
                <w:szCs w:val="26"/>
              </w:rPr>
              <w:t>тем, что при закупке, строительстве НТО в среднем стоимость затрат по установке НТО составляет 600,0 тыс</w:t>
            </w:r>
            <w:proofErr w:type="gramStart"/>
            <w:r w:rsidR="0082220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82220E">
              <w:rPr>
                <w:rFonts w:ascii="Times New Roman" w:hAnsi="Times New Roman" w:cs="Times New Roman"/>
                <w:sz w:val="26"/>
                <w:szCs w:val="26"/>
              </w:rPr>
              <w:t>уб., предлагаю увеличить субсидию до 250,0 тыс.руб.</w:t>
            </w:r>
          </w:p>
        </w:tc>
        <w:tc>
          <w:tcPr>
            <w:tcW w:w="3412" w:type="dxa"/>
          </w:tcPr>
          <w:p w:rsidR="00244EC7" w:rsidRPr="00D832C0" w:rsidRDefault="0082220E" w:rsidP="00244EC7">
            <w:pPr>
              <w:pStyle w:val="ConsPlusNormal"/>
              <w:ind w:left="327"/>
              <w:jc w:val="both"/>
            </w:pPr>
            <w:r>
              <w:t>Предложение будет рассмотрено</w:t>
            </w: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9161A2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C7" w:rsidRDefault="00244EC7" w:rsidP="00E01E00">
      <w:pPr>
        <w:spacing w:before="0"/>
      </w:pPr>
      <w:r>
        <w:separator/>
      </w:r>
    </w:p>
  </w:endnote>
  <w:endnote w:type="continuationSeparator" w:id="0">
    <w:p w:rsidR="00244EC7" w:rsidRDefault="00244EC7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C7" w:rsidRDefault="00244EC7" w:rsidP="00E01E00">
      <w:pPr>
        <w:spacing w:before="0"/>
      </w:pPr>
      <w:r>
        <w:separator/>
      </w:r>
    </w:p>
  </w:footnote>
  <w:footnote w:type="continuationSeparator" w:id="0">
    <w:p w:rsidR="00244EC7" w:rsidRDefault="00244EC7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54178"/>
    <w:multiLevelType w:val="hybridMultilevel"/>
    <w:tmpl w:val="708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A04E4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1BD9"/>
    <w:rsid w:val="00213FB4"/>
    <w:rsid w:val="00226C1D"/>
    <w:rsid w:val="002349FA"/>
    <w:rsid w:val="002372D0"/>
    <w:rsid w:val="002444B6"/>
    <w:rsid w:val="00244EC7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28E3"/>
    <w:rsid w:val="0050419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65960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4170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43BF9"/>
    <w:rsid w:val="00750CD7"/>
    <w:rsid w:val="007635BA"/>
    <w:rsid w:val="007637D5"/>
    <w:rsid w:val="007724CB"/>
    <w:rsid w:val="00774A20"/>
    <w:rsid w:val="00784FFF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20E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161A2"/>
    <w:rsid w:val="0092058F"/>
    <w:rsid w:val="00922A15"/>
    <w:rsid w:val="00922FB9"/>
    <w:rsid w:val="00926513"/>
    <w:rsid w:val="00930F30"/>
    <w:rsid w:val="0093481E"/>
    <w:rsid w:val="00935C75"/>
    <w:rsid w:val="009407F6"/>
    <w:rsid w:val="00950A35"/>
    <w:rsid w:val="0096090D"/>
    <w:rsid w:val="009639C5"/>
    <w:rsid w:val="009655EA"/>
    <w:rsid w:val="00965DB2"/>
    <w:rsid w:val="00991757"/>
    <w:rsid w:val="009A4174"/>
    <w:rsid w:val="009B75B7"/>
    <w:rsid w:val="009C1647"/>
    <w:rsid w:val="009D05EF"/>
    <w:rsid w:val="009F7BDB"/>
    <w:rsid w:val="00A03DAB"/>
    <w:rsid w:val="00A06CE3"/>
    <w:rsid w:val="00A13CCD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57902"/>
    <w:rsid w:val="00C6254C"/>
    <w:rsid w:val="00C63425"/>
    <w:rsid w:val="00C73FF0"/>
    <w:rsid w:val="00C868CB"/>
    <w:rsid w:val="00C87F05"/>
    <w:rsid w:val="00C90247"/>
    <w:rsid w:val="00C90288"/>
    <w:rsid w:val="00C9708B"/>
    <w:rsid w:val="00C97993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3482"/>
    <w:rsid w:val="00E00CBF"/>
    <w:rsid w:val="00E01E00"/>
    <w:rsid w:val="00E02AB8"/>
    <w:rsid w:val="00E118AB"/>
    <w:rsid w:val="00E1507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customStyle="1" w:styleId="ConsPlusTitle">
    <w:name w:val="ConsPlusTitle"/>
    <w:rsid w:val="00991757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A3B8-3B94-48AD-921E-9859012B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296</cp:revision>
  <cp:lastPrinted>2017-05-31T12:16:00Z</cp:lastPrinted>
  <dcterms:created xsi:type="dcterms:W3CDTF">2017-05-24T09:22:00Z</dcterms:created>
  <dcterms:modified xsi:type="dcterms:W3CDTF">2019-08-06T07:27:00Z</dcterms:modified>
</cp:coreProperties>
</file>