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0190"/>
      </w:tblGrid>
      <w:tr w:rsidR="00FA08AC">
        <w:tc>
          <w:tcPr>
            <w:tcW w:w="10772" w:type="dxa"/>
            <w:tcBorders>
              <w:top w:val="nil"/>
              <w:left w:val="nil"/>
              <w:bottom w:val="nil"/>
              <w:right w:val="nil"/>
            </w:tcBorders>
            <w:tcMar>
              <w:top w:w="0" w:type="dxa"/>
              <w:left w:w="108" w:type="dxa"/>
              <w:bottom w:w="0" w:type="dxa"/>
              <w:right w:w="108" w:type="dxa"/>
            </w:tcMar>
            <w:hideMark/>
          </w:tcPr>
          <w:p w:rsidR="00FA08AC" w:rsidRDefault="005B3949">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FA08AC" w:rsidRDefault="005B3949">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FA08AC">
        <w:trPr>
          <w:trHeight w:val="270"/>
        </w:trPr>
        <w:tc>
          <w:tcPr>
            <w:tcW w:w="5940" w:type="dxa"/>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FA08AC">
            <w:pPr>
              <w:rPr>
                <w:sz w:val="24"/>
              </w:rPr>
            </w:pPr>
          </w:p>
        </w:tc>
        <w:tc>
          <w:tcPr>
            <w:tcW w:w="2461" w:type="dxa"/>
            <w:noWrap/>
            <w:tcMar>
              <w:top w:w="0" w:type="dxa"/>
              <w:left w:w="108" w:type="dxa"/>
              <w:bottom w:w="0" w:type="dxa"/>
              <w:right w:w="108" w:type="dxa"/>
            </w:tcMar>
            <w:vAlign w:val="bottom"/>
            <w:hideMark/>
          </w:tcPr>
          <w:p w:rsidR="00FA08AC" w:rsidRDefault="00FA08AC">
            <w:pPr>
              <w:rPr>
                <w:sz w:val="24"/>
              </w:rPr>
            </w:pPr>
          </w:p>
        </w:tc>
      </w:tr>
      <w:tr w:rsidR="00FA08AC">
        <w:trPr>
          <w:trHeight w:val="255"/>
        </w:trPr>
        <w:tc>
          <w:tcPr>
            <w:tcW w:w="5940" w:type="dxa"/>
            <w:noWrap/>
            <w:tcMar>
              <w:top w:w="0" w:type="dxa"/>
              <w:left w:w="108" w:type="dxa"/>
              <w:bottom w:w="0" w:type="dxa"/>
              <w:right w:w="108" w:type="dxa"/>
            </w:tcMar>
            <w:vAlign w:val="bottom"/>
            <w:hideMark/>
          </w:tcPr>
          <w:p w:rsidR="00FA08AC" w:rsidRDefault="00FA08AC">
            <w:pPr>
              <w:rPr>
                <w:sz w:val="24"/>
              </w:rPr>
            </w:pP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FA08AC">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FA08AC">
        <w:trPr>
          <w:trHeight w:val="282"/>
        </w:trPr>
        <w:tc>
          <w:tcPr>
            <w:tcW w:w="0" w:type="auto"/>
            <w:noWrap/>
            <w:tcMar>
              <w:top w:w="0" w:type="dxa"/>
              <w:left w:w="108" w:type="dxa"/>
              <w:bottom w:w="0" w:type="dxa"/>
              <w:right w:w="108" w:type="dxa"/>
            </w:tcMar>
            <w:vAlign w:val="bottom"/>
            <w:hideMark/>
          </w:tcPr>
          <w:p w:rsidR="00FA08AC" w:rsidRDefault="00FA08AC">
            <w:pPr>
              <w:rPr>
                <w:sz w:val="24"/>
              </w:rPr>
            </w:pPr>
          </w:p>
        </w:tc>
        <w:tc>
          <w:tcPr>
            <w:tcW w:w="0" w:type="auto"/>
            <w:gridSpan w:val="2"/>
            <w:noWrap/>
            <w:tcMar>
              <w:top w:w="0" w:type="dxa"/>
              <w:left w:w="108" w:type="dxa"/>
              <w:bottom w:w="0" w:type="dxa"/>
              <w:right w:w="108" w:type="dxa"/>
            </w:tcMar>
            <w:vAlign w:val="bottom"/>
            <w:hideMark/>
          </w:tcPr>
          <w:p w:rsidR="00FA08AC" w:rsidRDefault="005B3949">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FA08AC">
        <w:trPr>
          <w:trHeight w:val="282"/>
        </w:trPr>
        <w:tc>
          <w:tcPr>
            <w:tcW w:w="0" w:type="auto"/>
            <w:gridSpan w:val="2"/>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FA08AC" w:rsidRDefault="005B3949">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FA08AC">
        <w:trPr>
          <w:trHeight w:val="300"/>
        </w:trPr>
        <w:tc>
          <w:tcPr>
            <w:tcW w:w="5940" w:type="dxa"/>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5B3949">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5B3949">
            <w:pPr>
              <w:spacing w:line="300" w:lineRule="auto"/>
              <w:jc w:val="center"/>
              <w:rPr>
                <w:rFonts w:ascii="Times New Roman" w:eastAsia="Times New Roman" w:hAnsi="Times New Roman" w:cs="Times New Roman"/>
                <w:sz w:val="24"/>
              </w:rPr>
            </w:pPr>
            <w:r>
              <w:rPr>
                <w:rFonts w:ascii="Times New Roman" w:eastAsia="Times New Roman" w:hAnsi="Times New Roman" w:cs="Times New Roman"/>
                <w:sz w:val="18"/>
                <w:szCs w:val="18"/>
              </w:rPr>
              <w:t>ГРБС</w:t>
            </w:r>
          </w:p>
        </w:tc>
      </w:tr>
      <w:tr w:rsidR="00FA08AC">
        <w:trPr>
          <w:trHeight w:val="195"/>
        </w:trPr>
        <w:tc>
          <w:tcPr>
            <w:tcW w:w="5940" w:type="dxa"/>
            <w:noWrap/>
            <w:tcMar>
              <w:top w:w="0" w:type="dxa"/>
              <w:left w:w="108" w:type="dxa"/>
              <w:bottom w:w="0" w:type="dxa"/>
              <w:right w:w="108" w:type="dxa"/>
            </w:tcMar>
            <w:vAlign w:val="bottom"/>
            <w:hideMark/>
          </w:tcPr>
          <w:p w:rsidR="00FA08AC" w:rsidRDefault="005B3949">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получатель бюджетных средств, главный администратор,   </w:t>
            </w:r>
          </w:p>
        </w:tc>
        <w:tc>
          <w:tcPr>
            <w:tcW w:w="222" w:type="dxa"/>
            <w:noWrap/>
            <w:tcMar>
              <w:top w:w="0" w:type="dxa"/>
              <w:left w:w="108" w:type="dxa"/>
              <w:bottom w:w="0" w:type="dxa"/>
              <w:right w:w="108" w:type="dxa"/>
            </w:tcMar>
            <w:vAlign w:val="bottom"/>
            <w:hideMark/>
          </w:tcPr>
          <w:p w:rsidR="00FA08AC" w:rsidRDefault="00FA08AC">
            <w:pPr>
              <w:rPr>
                <w:sz w:val="20"/>
              </w:rPr>
            </w:pPr>
          </w:p>
        </w:tc>
        <w:tc>
          <w:tcPr>
            <w:tcW w:w="1500" w:type="dxa"/>
            <w:noWrap/>
            <w:tcMar>
              <w:top w:w="0" w:type="dxa"/>
              <w:left w:w="108" w:type="dxa"/>
              <w:bottom w:w="0" w:type="dxa"/>
              <w:right w:w="108" w:type="dxa"/>
            </w:tcMar>
            <w:vAlign w:val="bottom"/>
            <w:hideMark/>
          </w:tcPr>
          <w:p w:rsidR="00FA08AC" w:rsidRDefault="00FA08AC">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FA08AC">
            <w:pPr>
              <w:rPr>
                <w:sz w:val="20"/>
              </w:rPr>
            </w:pPr>
          </w:p>
        </w:tc>
      </w:tr>
      <w:tr w:rsidR="00FA08AC">
        <w:trPr>
          <w:trHeight w:val="195"/>
        </w:trPr>
        <w:tc>
          <w:tcPr>
            <w:tcW w:w="5940" w:type="dxa"/>
            <w:noWrap/>
            <w:tcMar>
              <w:top w:w="0" w:type="dxa"/>
              <w:left w:w="108" w:type="dxa"/>
              <w:bottom w:w="0" w:type="dxa"/>
              <w:right w:w="108" w:type="dxa"/>
            </w:tcMar>
            <w:vAlign w:val="bottom"/>
            <w:hideMark/>
          </w:tcPr>
          <w:p w:rsidR="00FA08AC" w:rsidRDefault="005B3949">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FA08AC" w:rsidRDefault="00FA08AC">
            <w:pPr>
              <w:rPr>
                <w:sz w:val="20"/>
              </w:rPr>
            </w:pPr>
          </w:p>
        </w:tc>
        <w:tc>
          <w:tcPr>
            <w:tcW w:w="1500" w:type="dxa"/>
            <w:noWrap/>
            <w:tcMar>
              <w:top w:w="0" w:type="dxa"/>
              <w:left w:w="108" w:type="dxa"/>
              <w:bottom w:w="0" w:type="dxa"/>
              <w:right w:w="108" w:type="dxa"/>
            </w:tcMar>
            <w:vAlign w:val="bottom"/>
            <w:hideMark/>
          </w:tcPr>
          <w:p w:rsidR="00FA08AC" w:rsidRDefault="005B3949">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5B3949">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01507913</w:t>
            </w:r>
          </w:p>
        </w:tc>
      </w:tr>
      <w:tr w:rsidR="00FA08AC">
        <w:trPr>
          <w:trHeight w:val="195"/>
        </w:trPr>
        <w:tc>
          <w:tcPr>
            <w:tcW w:w="5940" w:type="dxa"/>
            <w:noWrap/>
            <w:tcMar>
              <w:top w:w="0" w:type="dxa"/>
              <w:left w:w="108" w:type="dxa"/>
              <w:bottom w:w="0" w:type="dxa"/>
              <w:right w:w="108" w:type="dxa"/>
            </w:tcMar>
            <w:vAlign w:val="bottom"/>
            <w:hideMark/>
          </w:tcPr>
          <w:p w:rsidR="00FA08AC" w:rsidRDefault="005B3949">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FA08AC" w:rsidRDefault="00FA08AC">
            <w:pPr>
              <w:rPr>
                <w:sz w:val="20"/>
              </w:rPr>
            </w:pPr>
          </w:p>
        </w:tc>
        <w:tc>
          <w:tcPr>
            <w:tcW w:w="1500" w:type="dxa"/>
            <w:noWrap/>
            <w:tcMar>
              <w:top w:w="0" w:type="dxa"/>
              <w:left w:w="108" w:type="dxa"/>
              <w:bottom w:w="0" w:type="dxa"/>
              <w:right w:w="108" w:type="dxa"/>
            </w:tcMar>
            <w:vAlign w:val="bottom"/>
            <w:hideMark/>
          </w:tcPr>
          <w:p w:rsidR="00FA08AC" w:rsidRDefault="00FA08AC">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FA08AC">
            <w:pPr>
              <w:rPr>
                <w:sz w:val="20"/>
              </w:rPr>
            </w:pPr>
          </w:p>
        </w:tc>
      </w:tr>
      <w:tr w:rsidR="00FA08AC">
        <w:trPr>
          <w:trHeight w:val="195"/>
        </w:trPr>
        <w:tc>
          <w:tcPr>
            <w:tcW w:w="5940" w:type="dxa"/>
            <w:noWrap/>
            <w:tcMar>
              <w:top w:w="0" w:type="dxa"/>
              <w:left w:w="108" w:type="dxa"/>
              <w:bottom w:w="0" w:type="dxa"/>
              <w:right w:w="108" w:type="dxa"/>
            </w:tcMar>
            <w:vAlign w:val="bottom"/>
            <w:hideMark/>
          </w:tcPr>
          <w:p w:rsidR="00FA08AC" w:rsidRDefault="005B3949">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FA08AC" w:rsidRDefault="00FA08AC">
            <w:pPr>
              <w:rPr>
                <w:sz w:val="20"/>
              </w:rPr>
            </w:pPr>
          </w:p>
        </w:tc>
        <w:tc>
          <w:tcPr>
            <w:tcW w:w="1500" w:type="dxa"/>
            <w:noWrap/>
            <w:tcMar>
              <w:top w:w="0" w:type="dxa"/>
              <w:left w:w="108" w:type="dxa"/>
              <w:bottom w:w="0" w:type="dxa"/>
              <w:right w:w="108" w:type="dxa"/>
            </w:tcMar>
            <w:vAlign w:val="bottom"/>
            <w:hideMark/>
          </w:tcPr>
          <w:p w:rsidR="00FA08AC" w:rsidRDefault="00FA08AC">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FA08AC">
            <w:pPr>
              <w:rPr>
                <w:sz w:val="20"/>
              </w:rPr>
            </w:pPr>
          </w:p>
        </w:tc>
      </w:tr>
      <w:tr w:rsidR="00FA08AC">
        <w:tc>
          <w:tcPr>
            <w:tcW w:w="0" w:type="auto"/>
            <w:gridSpan w:val="2"/>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Управление финансов Администрации МО "Городской округ "Город Нарьян-Мар"</w:t>
            </w:r>
            <w:r>
              <w:rPr>
                <w:rFonts w:ascii="Times New Roman" w:eastAsia="Times New Roman" w:hAnsi="Times New Roman" w:cs="Times New Roman"/>
                <w:sz w:val="18"/>
                <w:szCs w:val="18"/>
              </w:rPr>
              <w:t>         </w:t>
            </w:r>
          </w:p>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FA08AC" w:rsidRDefault="005B3949">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033</w:t>
            </w:r>
          </w:p>
        </w:tc>
      </w:tr>
      <w:tr w:rsidR="00FA08AC">
        <w:trPr>
          <w:trHeight w:val="280"/>
        </w:trPr>
        <w:tc>
          <w:tcPr>
            <w:tcW w:w="5940" w:type="dxa"/>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FA08AC">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FA08AC">
            <w:pPr>
              <w:rPr>
                <w:sz w:val="24"/>
              </w:rPr>
            </w:pPr>
          </w:p>
        </w:tc>
      </w:tr>
      <w:tr w:rsidR="00FA08AC">
        <w:trPr>
          <w:trHeight w:val="210"/>
        </w:trPr>
        <w:tc>
          <w:tcPr>
            <w:tcW w:w="0" w:type="auto"/>
            <w:gridSpan w:val="2"/>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городских округов</w:t>
            </w:r>
          </w:p>
          <w:p w:rsidR="00FA08AC" w:rsidRDefault="005B3949">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FA08AC" w:rsidRDefault="005B3949">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5B3949">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11851000</w:t>
            </w:r>
          </w:p>
        </w:tc>
      </w:tr>
      <w:tr w:rsidR="00FA08AC">
        <w:trPr>
          <w:trHeight w:val="315"/>
        </w:trPr>
        <w:tc>
          <w:tcPr>
            <w:tcW w:w="5940" w:type="dxa"/>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FA08AC">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FA08AC" w:rsidRDefault="00FA08AC">
            <w:pPr>
              <w:rPr>
                <w:sz w:val="24"/>
              </w:rPr>
            </w:pPr>
          </w:p>
        </w:tc>
      </w:tr>
      <w:tr w:rsidR="00FA08AC">
        <w:trPr>
          <w:trHeight w:val="282"/>
        </w:trPr>
        <w:tc>
          <w:tcPr>
            <w:tcW w:w="0" w:type="auto"/>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5B3949">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FA08AC">
        <w:trPr>
          <w:trHeight w:val="282"/>
        </w:trPr>
        <w:tc>
          <w:tcPr>
            <w:tcW w:w="0" w:type="auto"/>
            <w:noWrap/>
            <w:tcMar>
              <w:top w:w="0" w:type="dxa"/>
              <w:left w:w="108" w:type="dxa"/>
              <w:bottom w:w="0" w:type="dxa"/>
              <w:right w:w="108" w:type="dxa"/>
            </w:tcMar>
            <w:vAlign w:val="bottom"/>
            <w:hideMark/>
          </w:tcPr>
          <w:p w:rsidR="00FA08AC" w:rsidRDefault="00FA08AC">
            <w:pPr>
              <w:rPr>
                <w:sz w:val="24"/>
              </w:rPr>
            </w:pPr>
          </w:p>
        </w:tc>
        <w:tc>
          <w:tcPr>
            <w:tcW w:w="222" w:type="dxa"/>
            <w:noWrap/>
            <w:tcMar>
              <w:top w:w="0" w:type="dxa"/>
              <w:left w:w="108" w:type="dxa"/>
              <w:bottom w:w="0" w:type="dxa"/>
              <w:right w:w="108" w:type="dxa"/>
            </w:tcMar>
            <w:vAlign w:val="bottom"/>
            <w:hideMark/>
          </w:tcPr>
          <w:p w:rsidR="00FA08AC" w:rsidRDefault="00FA08AC">
            <w:pPr>
              <w:rPr>
                <w:sz w:val="24"/>
              </w:rPr>
            </w:pPr>
          </w:p>
        </w:tc>
        <w:tc>
          <w:tcPr>
            <w:tcW w:w="1500" w:type="dxa"/>
            <w:noWrap/>
            <w:tcMar>
              <w:top w:w="0" w:type="dxa"/>
              <w:left w:w="108" w:type="dxa"/>
              <w:bottom w:w="0" w:type="dxa"/>
              <w:right w:w="108" w:type="dxa"/>
            </w:tcMar>
            <w:vAlign w:val="bottom"/>
            <w:hideMark/>
          </w:tcPr>
          <w:p w:rsidR="00FA08AC" w:rsidRDefault="00FA08AC">
            <w:pPr>
              <w:rPr>
                <w:sz w:val="24"/>
              </w:rPr>
            </w:pPr>
          </w:p>
        </w:tc>
        <w:tc>
          <w:tcPr>
            <w:tcW w:w="2461" w:type="dxa"/>
            <w:noWrap/>
            <w:tcMar>
              <w:top w:w="0" w:type="dxa"/>
              <w:left w:w="108" w:type="dxa"/>
              <w:bottom w:w="0" w:type="dxa"/>
              <w:right w:w="108" w:type="dxa"/>
            </w:tcMar>
            <w:vAlign w:val="bottom"/>
            <w:hideMark/>
          </w:tcPr>
          <w:p w:rsidR="00FA08AC" w:rsidRDefault="00FA08AC">
            <w:pPr>
              <w:rPr>
                <w:sz w:val="24"/>
              </w:rPr>
            </w:pPr>
          </w:p>
        </w:tc>
      </w:tr>
      <w:tr w:rsidR="00FA08AC">
        <w:trPr>
          <w:trHeight w:val="282"/>
        </w:trPr>
        <w:tc>
          <w:tcPr>
            <w:tcW w:w="0" w:type="auto"/>
            <w:gridSpan w:val="4"/>
            <w:noWrap/>
            <w:tcMar>
              <w:top w:w="0" w:type="dxa"/>
              <w:left w:w="108" w:type="dxa"/>
              <w:bottom w:w="0" w:type="dxa"/>
              <w:right w:w="108" w:type="dxa"/>
            </w:tcMar>
            <w:vAlign w:val="bottom"/>
            <w:hideMark/>
          </w:tcPr>
          <w:p w:rsidR="00FA08AC" w:rsidRDefault="00FA08AC">
            <w:pPr>
              <w:rPr>
                <w:sz w:val="24"/>
              </w:rPr>
            </w:pPr>
          </w:p>
        </w:tc>
      </w:tr>
    </w:tbl>
    <w:p w:rsidR="00FA08AC" w:rsidRDefault="00FA08AC">
      <w:pPr>
        <w:rPr>
          <w:vanish/>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190"/>
      </w:tblGrid>
      <w:tr w:rsidR="00FA08AC">
        <w:tc>
          <w:tcPr>
            <w:tcW w:w="10772" w:type="dxa"/>
            <w:tcBorders>
              <w:top w:val="nil"/>
              <w:left w:val="nil"/>
              <w:bottom w:val="nil"/>
              <w:right w:val="nil"/>
            </w:tcBorders>
            <w:tcMar>
              <w:top w:w="0" w:type="dxa"/>
              <w:left w:w="108" w:type="dxa"/>
              <w:bottom w:w="0" w:type="dxa"/>
              <w:right w:w="108" w:type="dxa"/>
            </w:tcMar>
            <w:hideMark/>
          </w:tcPr>
          <w:p w:rsidR="00FA08AC" w:rsidRDefault="005B3949">
            <w:pPr>
              <w:jc w:val="right"/>
              <w:rPr>
                <w:color w:val="000000"/>
              </w:rPr>
            </w:pPr>
            <w:r>
              <w:rPr>
                <w:rFonts w:ascii="Times New Roman" w:eastAsia="Times New Roman" w:hAnsi="Times New Roman" w:cs="Times New Roman"/>
                <w:color w:val="000000"/>
                <w:sz w:val="24"/>
                <w:szCs w:val="24"/>
              </w:rPr>
              <w:t> </w:t>
            </w:r>
          </w:p>
        </w:tc>
      </w:tr>
    </w:tbl>
    <w:p w:rsidR="00FA08AC" w:rsidRDefault="005B3949">
      <w:pPr>
        <w:rPr>
          <w:color w:val="000000"/>
        </w:rPr>
      </w:pPr>
      <w:r>
        <w:rPr>
          <w:rFonts w:ascii="Times New Roman" w:eastAsia="Times New Roman" w:hAnsi="Times New Roman" w:cs="Times New Roman"/>
          <w:vanish/>
          <w:color w:val="000000"/>
          <w:sz w:val="24"/>
          <w:szCs w:val="24"/>
        </w:rPr>
        <w:t> </w:t>
      </w:r>
    </w:p>
    <w:p w:rsidR="00FA08AC" w:rsidRDefault="00695E91">
      <w:pPr>
        <w:jc w:val="center"/>
        <w:outlineLvl w:val="1"/>
        <w:rPr>
          <w:b/>
          <w:color w:val="000000"/>
          <w:sz w:val="36"/>
        </w:rPr>
      </w:pPr>
      <w:hyperlink r:id="rId5">
        <w:r w:rsidR="005B3949" w:rsidRPr="00F96841">
          <w:rPr>
            <w:rStyle w:val="a3"/>
            <w:rFonts w:ascii="Times New Roman" w:eastAsia="Calibri" w:hAnsi="Times New Roman" w:cs="Times New Roman"/>
            <w:b/>
            <w:color w:val="000000"/>
            <w:sz w:val="26"/>
            <w:szCs w:val="26"/>
            <w:u w:val="none"/>
          </w:rPr>
          <w:t>Раздел 1</w:t>
        </w:r>
      </w:hyperlink>
      <w:bookmarkStart w:id="0" w:name="_dx_frag_StartFragment"/>
      <w:bookmarkStart w:id="1" w:name="_dx_frag_EndFragment"/>
      <w:bookmarkStart w:id="2" w:name="bx-im-go-Mon_Jan_23_2023_10:15:32_GMT+03"/>
      <w:bookmarkStart w:id="3" w:name="bx-im-go-segodnya"/>
      <w:bookmarkEnd w:id="0"/>
      <w:bookmarkEnd w:id="1"/>
      <w:bookmarkEnd w:id="2"/>
      <w:bookmarkEnd w:id="3"/>
      <w:r w:rsidR="005B3949" w:rsidRPr="00F96841">
        <w:rPr>
          <w:rFonts w:ascii="Times New Roman" w:eastAsia="Times New Roman" w:hAnsi="Times New Roman" w:cs="Times New Roman"/>
          <w:b/>
          <w:color w:val="000000"/>
          <w:sz w:val="26"/>
          <w:szCs w:val="26"/>
        </w:rPr>
        <w:t xml:space="preserve">. </w:t>
      </w:r>
      <w:r w:rsidR="005B3949">
        <w:rPr>
          <w:rFonts w:ascii="Times New Roman" w:eastAsia="Times New Roman" w:hAnsi="Times New Roman" w:cs="Times New Roman"/>
          <w:b/>
          <w:color w:val="000000"/>
          <w:sz w:val="26"/>
          <w:szCs w:val="26"/>
        </w:rPr>
        <w:t>Организационная структура субъекта бюджетной отчетности</w:t>
      </w:r>
    </w:p>
    <w:p w:rsidR="00FA08AC" w:rsidRDefault="005B3949">
      <w:pPr>
        <w:ind w:firstLine="700"/>
        <w:outlineLvl w:val="1"/>
        <w:rPr>
          <w:b/>
          <w:color w:val="000000"/>
          <w:sz w:val="36"/>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Полное наименование: Управление финансов Администрации МО "Городской округ "Город Нарьян-Мар".</w:t>
      </w:r>
    </w:p>
    <w:p w:rsidR="00FA08AC" w:rsidRDefault="005B3949">
      <w:pPr>
        <w:ind w:firstLine="720"/>
        <w:jc w:val="both"/>
        <w:rPr>
          <w:color w:val="000000"/>
        </w:rPr>
      </w:pPr>
      <w:r>
        <w:rPr>
          <w:rFonts w:ascii="Times New Roman" w:eastAsia="Times New Roman" w:hAnsi="Times New Roman" w:cs="Times New Roman"/>
          <w:color w:val="000000"/>
          <w:sz w:val="26"/>
          <w:szCs w:val="26"/>
        </w:rPr>
        <w:t>Сокращенное наименование: ГОРУФ.</w:t>
      </w:r>
    </w:p>
    <w:p w:rsidR="00FA08AC" w:rsidRDefault="005B3949">
      <w:pPr>
        <w:ind w:firstLine="720"/>
        <w:jc w:val="both"/>
        <w:rPr>
          <w:color w:val="000000"/>
        </w:rPr>
      </w:pPr>
      <w:r>
        <w:rPr>
          <w:rFonts w:ascii="Times New Roman" w:eastAsia="Times New Roman" w:hAnsi="Times New Roman" w:cs="Times New Roman"/>
          <w:color w:val="000000"/>
          <w:sz w:val="26"/>
          <w:szCs w:val="26"/>
        </w:rPr>
        <w:t>ИНН 8301020213, КПП 298301001, ОКПО 01507913, ОКТМО 11851000, ОГРН 1028301646790</w:t>
      </w:r>
    </w:p>
    <w:p w:rsidR="00FA08AC" w:rsidRDefault="005B3949">
      <w:pPr>
        <w:ind w:firstLine="720"/>
        <w:jc w:val="both"/>
        <w:rPr>
          <w:color w:val="000000"/>
        </w:rPr>
      </w:pPr>
      <w:r>
        <w:rPr>
          <w:rFonts w:ascii="Times New Roman" w:eastAsia="Times New Roman" w:hAnsi="Times New Roman" w:cs="Times New Roman"/>
          <w:color w:val="000000"/>
          <w:sz w:val="26"/>
          <w:szCs w:val="26"/>
        </w:rPr>
        <w:t>Учредитель - Администрация муниципального образования "Городской округ "Город Нарьян-Мар".</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Управление финансов является структурным подразделением Администрации муниципального образования "Городской округ "Город Нарьян-Мар", </w:t>
      </w:r>
      <w:proofErr w:type="gramStart"/>
      <w:r>
        <w:rPr>
          <w:rFonts w:ascii="Times New Roman" w:eastAsia="Times New Roman" w:hAnsi="Times New Roman" w:cs="Times New Roman"/>
          <w:color w:val="000000"/>
          <w:sz w:val="26"/>
          <w:szCs w:val="26"/>
        </w:rPr>
        <w:t>осуществляющим</w:t>
      </w:r>
      <w:proofErr w:type="gramEnd"/>
      <w:r>
        <w:rPr>
          <w:rFonts w:ascii="Times New Roman" w:eastAsia="Times New Roman" w:hAnsi="Times New Roman" w:cs="Times New Roman"/>
          <w:color w:val="000000"/>
          <w:sz w:val="26"/>
          <w:szCs w:val="26"/>
        </w:rPr>
        <w:t xml:space="preserve"> составление и организацию исполнения городского бюджета, реализацию единой финансовой, бюджетной и налоговой политики.</w:t>
      </w:r>
    </w:p>
    <w:p w:rsidR="00FA08AC" w:rsidRDefault="005B3949">
      <w:pPr>
        <w:ind w:firstLine="720"/>
        <w:jc w:val="both"/>
        <w:rPr>
          <w:color w:val="000000"/>
        </w:rPr>
      </w:pPr>
      <w:r>
        <w:rPr>
          <w:rFonts w:ascii="Times New Roman" w:eastAsia="Times New Roman" w:hAnsi="Times New Roman" w:cs="Times New Roman"/>
          <w:color w:val="000000"/>
          <w:sz w:val="26"/>
          <w:szCs w:val="26"/>
        </w:rPr>
        <w:t>Финансовое обеспечение деятельности Управления финансов осуществляется за счет средств бюджета муниципального образования "Городской округ "Город Нарьян-Мар".</w:t>
      </w:r>
    </w:p>
    <w:p w:rsidR="00FA08AC" w:rsidRDefault="005B3949">
      <w:pPr>
        <w:ind w:firstLine="720"/>
        <w:jc w:val="both"/>
        <w:rPr>
          <w:color w:val="000000"/>
        </w:rPr>
      </w:pPr>
      <w:r>
        <w:rPr>
          <w:rFonts w:ascii="Times New Roman" w:eastAsia="Times New Roman" w:hAnsi="Times New Roman" w:cs="Times New Roman"/>
          <w:color w:val="000000"/>
          <w:sz w:val="26"/>
          <w:szCs w:val="26"/>
        </w:rPr>
        <w:t>Управление финансов является главным администратором доходов, главным распорядителем бюджетных средств, получателем бюджетных средств, главным администратором источников финансирования дефицита бюджета.</w:t>
      </w:r>
    </w:p>
    <w:p w:rsidR="00FA08AC" w:rsidRDefault="005B3949">
      <w:pPr>
        <w:ind w:firstLine="720"/>
        <w:jc w:val="both"/>
        <w:rPr>
          <w:color w:val="000000"/>
        </w:rPr>
      </w:pPr>
      <w:r>
        <w:rPr>
          <w:rFonts w:ascii="Times New Roman" w:eastAsia="Times New Roman" w:hAnsi="Times New Roman" w:cs="Times New Roman"/>
          <w:color w:val="000000"/>
          <w:sz w:val="26"/>
          <w:szCs w:val="26"/>
        </w:rPr>
        <w:t>Подведомственных учреждений не имеет.</w:t>
      </w:r>
    </w:p>
    <w:p w:rsidR="00FA08AC" w:rsidRDefault="005B3949">
      <w:pPr>
        <w:ind w:firstLine="720"/>
        <w:jc w:val="both"/>
        <w:rPr>
          <w:color w:val="000000"/>
        </w:rPr>
      </w:pPr>
      <w:r>
        <w:rPr>
          <w:rFonts w:ascii="Times New Roman" w:eastAsia="Times New Roman" w:hAnsi="Times New Roman" w:cs="Times New Roman"/>
          <w:color w:val="000000"/>
          <w:sz w:val="26"/>
          <w:szCs w:val="26"/>
        </w:rPr>
        <w:t>Бюджетные полномочия Управления финансов в 2025 году не изменялись.</w:t>
      </w:r>
    </w:p>
    <w:p w:rsidR="00FA08AC" w:rsidRDefault="005B3949">
      <w:pPr>
        <w:ind w:firstLine="720"/>
        <w:jc w:val="both"/>
        <w:rPr>
          <w:color w:val="000000"/>
        </w:rPr>
      </w:pPr>
      <w:r>
        <w:rPr>
          <w:rFonts w:ascii="Times New Roman" w:eastAsia="Times New Roman" w:hAnsi="Times New Roman" w:cs="Times New Roman"/>
          <w:color w:val="000000"/>
          <w:sz w:val="26"/>
          <w:szCs w:val="26"/>
        </w:rPr>
        <w:lastRenderedPageBreak/>
        <w:t>Бюджетный учет, составление и представление отчетности осуществляется отделом бухгалтерского учета и отчетности Управления финансов, который возглавляет начальник отдела.</w:t>
      </w:r>
    </w:p>
    <w:p w:rsidR="00FA08AC" w:rsidRDefault="005B3949">
      <w:pPr>
        <w:ind w:firstLine="540"/>
        <w:jc w:val="center"/>
        <w:rPr>
          <w:color w:val="000000"/>
        </w:rPr>
      </w:pPr>
      <w:r>
        <w:rPr>
          <w:rFonts w:ascii="Times New Roman" w:eastAsia="Times New Roman" w:hAnsi="Times New Roman" w:cs="Times New Roman"/>
          <w:b/>
          <w:color w:val="000000"/>
          <w:sz w:val="26"/>
          <w:szCs w:val="26"/>
        </w:rPr>
        <w:t> </w:t>
      </w:r>
    </w:p>
    <w:p w:rsidR="00FA08AC" w:rsidRDefault="005B3949">
      <w:pPr>
        <w:ind w:firstLine="540"/>
        <w:jc w:val="center"/>
        <w:rPr>
          <w:color w:val="000000"/>
        </w:rPr>
      </w:pPr>
      <w:r>
        <w:rPr>
          <w:rFonts w:ascii="Times New Roman" w:eastAsia="Times New Roman" w:hAnsi="Times New Roman" w:cs="Times New Roman"/>
          <w:b/>
          <w:color w:val="000000"/>
          <w:sz w:val="26"/>
          <w:szCs w:val="26"/>
        </w:rPr>
        <w:t>Раздел 2. Результаты деятельности субъекта бюджетной отчетности</w:t>
      </w:r>
      <w:bookmarkStart w:id="4" w:name="dst101242"/>
      <w:bookmarkStart w:id="5" w:name="dst101235"/>
      <w:bookmarkStart w:id="6" w:name="dst101236"/>
      <w:bookmarkStart w:id="7" w:name="dst101243"/>
      <w:bookmarkEnd w:id="4"/>
      <w:bookmarkEnd w:id="5"/>
      <w:bookmarkEnd w:id="6"/>
      <w:bookmarkEnd w:id="7"/>
    </w:p>
    <w:p w:rsidR="00FA08AC" w:rsidRDefault="005B3949">
      <w:pPr>
        <w:ind w:left="540"/>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Управление финансов является соисполнителем муниципальной программы муниципального образования "Городской округ "Город Нарьян-Мар" "Совершенствование и развитие муниципального управления в муниципальном образовании "Городской округ "Город Нарьян-Мар", утвержденной Постановлением Администрации МО "Городской округ "Город Нарьян-Мар" от 31.08.2018 № 588. В рамках выполнения подпрограммы 3 "Управление муниципальными финансами МО "Городской округ "Город Нарьян-Мар" по основному мероприятию "Обеспечение деятельности Управления финансов Администрации МО "Городской округ "Город Нарьян-Мар" утверждены плановые показатели в объеме 37 606 001,95 рублей на финансовое обеспечение расходов в целях </w:t>
      </w:r>
      <w:proofErr w:type="gramStart"/>
      <w:r>
        <w:rPr>
          <w:rFonts w:ascii="Times New Roman" w:eastAsia="Times New Roman" w:hAnsi="Times New Roman" w:cs="Times New Roman"/>
          <w:color w:val="000000"/>
          <w:sz w:val="26"/>
          <w:szCs w:val="26"/>
        </w:rPr>
        <w:t>обеспечения выполнения функций Управления финансов</w:t>
      </w:r>
      <w:proofErr w:type="gramEnd"/>
      <w:r>
        <w:rPr>
          <w:rFonts w:ascii="Times New Roman" w:eastAsia="Times New Roman" w:hAnsi="Times New Roman" w:cs="Times New Roman"/>
          <w:color w:val="000000"/>
          <w:sz w:val="26"/>
          <w:szCs w:val="26"/>
        </w:rPr>
        <w:t xml:space="preserve">. Кассовое исполнение по данному мероприятию за отчетный период составило 36 948 189,98 рублей или 98,25 % от утвержденных плановых показателей отчетного периода. </w:t>
      </w:r>
    </w:p>
    <w:p w:rsidR="00FA08AC" w:rsidRDefault="005B3949">
      <w:pPr>
        <w:ind w:firstLine="720"/>
        <w:jc w:val="both"/>
        <w:rPr>
          <w:color w:val="000000"/>
        </w:rPr>
      </w:pPr>
      <w:r>
        <w:rPr>
          <w:rFonts w:ascii="Times New Roman" w:eastAsia="Times New Roman" w:hAnsi="Times New Roman" w:cs="Times New Roman"/>
          <w:color w:val="000000"/>
          <w:sz w:val="26"/>
          <w:szCs w:val="26"/>
        </w:rPr>
        <w:t>С целью повышения эффективности расходования бюджетных средств Управлением финансов принимаются следующие меры:</w:t>
      </w:r>
    </w:p>
    <w:p w:rsidR="00FA08AC" w:rsidRDefault="005B3949">
      <w:pPr>
        <w:ind w:firstLine="720"/>
        <w:jc w:val="both"/>
        <w:rPr>
          <w:color w:val="000000"/>
        </w:rPr>
      </w:pPr>
      <w:proofErr w:type="gramStart"/>
      <w:r>
        <w:rPr>
          <w:rFonts w:ascii="Times New Roman" w:eastAsia="Times New Roman" w:hAnsi="Times New Roman" w:cs="Times New Roman"/>
          <w:color w:val="000000"/>
          <w:sz w:val="26"/>
          <w:szCs w:val="26"/>
        </w:rPr>
        <w:t>- утверждены нормативные затраты на обеспечен</w:t>
      </w:r>
      <w:r w:rsidR="00F96841">
        <w:rPr>
          <w:rFonts w:ascii="Times New Roman" w:eastAsia="Times New Roman" w:hAnsi="Times New Roman" w:cs="Times New Roman"/>
          <w:color w:val="000000"/>
          <w:sz w:val="26"/>
          <w:szCs w:val="26"/>
        </w:rPr>
        <w:t xml:space="preserve">ие функций Управления финансов </w:t>
      </w:r>
      <w:r>
        <w:rPr>
          <w:rFonts w:ascii="Times New Roman" w:eastAsia="Times New Roman" w:hAnsi="Times New Roman" w:cs="Times New Roman"/>
          <w:color w:val="000000"/>
          <w:sz w:val="26"/>
          <w:szCs w:val="26"/>
        </w:rPr>
        <w:t>(приказ от 08.11.2022 № 48 "Об утверждении нормативных затрат на обеспечение функций Управления финансов Администрации МО "Городской округ "Город Нарьян-Мар" (с учетом изменений), снижается вероятность необоснованного завышения объема бюджетных ассигнований на закупку товаров, работ, услуг, повышается прозрачность обоснования бюджетных ассигнований на закупки для муниципальных нужд;</w:t>
      </w:r>
      <w:proofErr w:type="gramEnd"/>
    </w:p>
    <w:p w:rsidR="00FA08AC" w:rsidRDefault="005B3949">
      <w:pPr>
        <w:ind w:firstLine="720"/>
        <w:jc w:val="both"/>
        <w:rPr>
          <w:color w:val="000000"/>
        </w:rPr>
      </w:pPr>
      <w:proofErr w:type="gramStart"/>
      <w:r>
        <w:rPr>
          <w:rFonts w:ascii="Times New Roman" w:eastAsia="Times New Roman" w:hAnsi="Times New Roman" w:cs="Times New Roman"/>
          <w:color w:val="000000"/>
          <w:sz w:val="26"/>
          <w:szCs w:val="26"/>
        </w:rPr>
        <w:t>- утверждены требования к отдельным видам товаров, работ, услуг (в том числе предельных цен товаров, работ, услуг), закупаемых Управлением финансов (приказ от 11.03.2024 № 8 "Об установлении требований к отдельным видам товаров, работ, услуг (в том числе предельных цен товаров, работ, услуг), закупаемых Управлением финансов Администрации МО "Городской округ "Город Нарьян-Мар" (с учетом изменений), снижается вероятность необоснованного завышения объема бюджетных ассигнований на</w:t>
      </w:r>
      <w:proofErr w:type="gramEnd"/>
      <w:r>
        <w:rPr>
          <w:rFonts w:ascii="Times New Roman" w:eastAsia="Times New Roman" w:hAnsi="Times New Roman" w:cs="Times New Roman"/>
          <w:color w:val="000000"/>
          <w:sz w:val="26"/>
          <w:szCs w:val="26"/>
        </w:rPr>
        <w:t xml:space="preserve"> закупку товаров, работ, услуг, повышается прозрачность обоснования бюджетных ассигнований на закупки для муниципальных нужд.</w:t>
      </w:r>
    </w:p>
    <w:p w:rsidR="00FA08AC" w:rsidRDefault="005B3949">
      <w:pPr>
        <w:rPr>
          <w:color w:val="000000"/>
        </w:rPr>
      </w:pPr>
      <w:r>
        <w:rPr>
          <w:rFonts w:ascii="Times New Roman" w:eastAsia="Times New Roman" w:hAnsi="Times New Roman" w:cs="Times New Roman"/>
          <w:b/>
          <w:color w:val="000000"/>
          <w:sz w:val="26"/>
          <w:szCs w:val="26"/>
        </w:rPr>
        <w:t> </w:t>
      </w:r>
    </w:p>
    <w:p w:rsidR="00FA08AC" w:rsidRDefault="005B3949">
      <w:pPr>
        <w:ind w:firstLine="560"/>
        <w:jc w:val="center"/>
        <w:rPr>
          <w:color w:val="000000"/>
        </w:rPr>
      </w:pPr>
      <w:r>
        <w:rPr>
          <w:rFonts w:ascii="Times New Roman" w:eastAsia="Times New Roman" w:hAnsi="Times New Roman" w:cs="Times New Roman"/>
          <w:b/>
          <w:color w:val="000000"/>
          <w:sz w:val="26"/>
          <w:szCs w:val="26"/>
        </w:rPr>
        <w:t xml:space="preserve">Раздел 3. Анализ отчета об исполнении бюджета </w:t>
      </w:r>
    </w:p>
    <w:p w:rsidR="00FA08AC" w:rsidRDefault="005B3949">
      <w:pPr>
        <w:ind w:firstLine="560"/>
        <w:jc w:val="center"/>
        <w:rPr>
          <w:color w:val="000000"/>
        </w:rPr>
      </w:pPr>
      <w:r>
        <w:rPr>
          <w:rFonts w:ascii="Times New Roman" w:eastAsia="Times New Roman" w:hAnsi="Times New Roman" w:cs="Times New Roman"/>
          <w:b/>
          <w:color w:val="000000"/>
          <w:sz w:val="26"/>
          <w:szCs w:val="26"/>
        </w:rPr>
        <w:t>субъектом бюджетной отчетности</w:t>
      </w:r>
    </w:p>
    <w:p w:rsidR="00FA08AC" w:rsidRDefault="005B3949">
      <w:pPr>
        <w:ind w:firstLine="560"/>
        <w:jc w:val="center"/>
        <w:rPr>
          <w:color w:val="000000"/>
        </w:rPr>
      </w:pPr>
      <w:r>
        <w:rPr>
          <w:rFonts w:ascii="Times New Roman" w:eastAsia="Times New Roman" w:hAnsi="Times New Roman" w:cs="Times New Roman"/>
          <w:color w:val="000000"/>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В Сведениях об исполнении текстовых статей закона (решения) о бюджете (Таблица № 3) обозначены результаты исполнения текстовых статей Решения Совета городского округа "Город Нарьян-Мар" от 19.12.2024 № 43-р "О бюджете </w:t>
      </w:r>
      <w:r>
        <w:rPr>
          <w:rFonts w:ascii="Times New Roman" w:eastAsia="Times New Roman" w:hAnsi="Times New Roman" w:cs="Times New Roman"/>
          <w:color w:val="000000"/>
          <w:sz w:val="26"/>
          <w:szCs w:val="26"/>
        </w:rPr>
        <w:lastRenderedPageBreak/>
        <w:t>муниципального образования "Городской округ "Город Нарьян-Мар" на 2025 год и плановый период 2026 и 2027 годов" с учетом изменений.</w:t>
      </w:r>
    </w:p>
    <w:p w:rsidR="00FA08AC" w:rsidRDefault="005B3949">
      <w:pPr>
        <w:ind w:firstLine="720"/>
        <w:jc w:val="both"/>
        <w:rPr>
          <w:color w:val="000000"/>
        </w:rPr>
      </w:pPr>
      <w:proofErr w:type="gramStart"/>
      <w:r>
        <w:rPr>
          <w:rFonts w:ascii="Times New Roman" w:eastAsia="Times New Roman" w:hAnsi="Times New Roman" w:cs="Times New Roman"/>
          <w:color w:val="000000"/>
          <w:sz w:val="26"/>
          <w:szCs w:val="26"/>
        </w:rPr>
        <w:t>Приказом Управления финансов от 19.12.2024 № 59 "Об администрировании доходов Управлением финансов Администрации</w:t>
      </w:r>
      <w:r w:rsidR="00F96841">
        <w:rPr>
          <w:rFonts w:ascii="Times New Roman" w:eastAsia="Times New Roman" w:hAnsi="Times New Roman" w:cs="Times New Roman"/>
          <w:color w:val="000000"/>
          <w:sz w:val="26"/>
          <w:szCs w:val="26"/>
        </w:rPr>
        <w:t xml:space="preserve"> МО "Городской округ "Город             </w:t>
      </w:r>
      <w:r>
        <w:rPr>
          <w:rFonts w:ascii="Times New Roman" w:eastAsia="Times New Roman" w:hAnsi="Times New Roman" w:cs="Times New Roman"/>
          <w:color w:val="000000"/>
          <w:sz w:val="26"/>
          <w:szCs w:val="26"/>
        </w:rPr>
        <w:t>Нарьян-Мар" установлено, что Управление финансов является главным администратором (администратором) доходов городского бюджета в части закрепляемых видов (подвидов) доходов городского бюджета при составлении и исполнении городского бюджета на 2025 год и на плановый период 2026 и 2027 годов.</w:t>
      </w:r>
      <w:proofErr w:type="gramEnd"/>
      <w:r>
        <w:rPr>
          <w:rFonts w:ascii="Times New Roman" w:eastAsia="Times New Roman" w:hAnsi="Times New Roman" w:cs="Times New Roman"/>
          <w:color w:val="000000"/>
          <w:sz w:val="26"/>
          <w:szCs w:val="26"/>
        </w:rPr>
        <w:t xml:space="preserve"> В 2025 году Управлением финансов получены доходы по коду доходов 20215001040000150 (дотации бюджетам городских округов на выравнивание бюджетной обеспеченности) в сумме 170 680 400,00 руб. или 100 % от плановых поступлений.</w:t>
      </w:r>
    </w:p>
    <w:p w:rsidR="00FA08AC" w:rsidRDefault="005B3949">
      <w:pPr>
        <w:ind w:firstLine="700"/>
        <w:jc w:val="both"/>
        <w:rPr>
          <w:color w:val="000000"/>
        </w:rPr>
      </w:pPr>
      <w:r>
        <w:rPr>
          <w:rFonts w:ascii="Times New Roman" w:eastAsia="Times New Roman" w:hAnsi="Times New Roman" w:cs="Times New Roman"/>
          <w:color w:val="000000"/>
          <w:sz w:val="26"/>
          <w:szCs w:val="26"/>
        </w:rPr>
        <w:t xml:space="preserve">В 2025 году бюджетная смета Управления финансов исполнена в объеме 98,25 % по целевому назначению в пределах ЛБО, что превышает минимальный порог в 95%. Однако, по некоторым расходам процент исполнения ниже установленного минимума. Причины отклонений кассового расхода от планового процента 95% </w:t>
      </w:r>
      <w:proofErr w:type="gramStart"/>
      <w:r>
        <w:rPr>
          <w:rFonts w:ascii="Times New Roman" w:eastAsia="Times New Roman" w:hAnsi="Times New Roman" w:cs="Times New Roman"/>
          <w:color w:val="000000"/>
          <w:sz w:val="26"/>
          <w:szCs w:val="26"/>
        </w:rPr>
        <w:t>к сводной бюджетной росписи городского бюджета указаны в Сведениях об исполнении бюджета в приложении к пояснительной записке</w:t>
      </w:r>
      <w:proofErr w:type="gramEnd"/>
      <w:r>
        <w:rPr>
          <w:rFonts w:ascii="Times New Roman" w:eastAsia="Times New Roman" w:hAnsi="Times New Roman" w:cs="Times New Roman"/>
          <w:color w:val="000000"/>
          <w:sz w:val="26"/>
          <w:szCs w:val="26"/>
        </w:rPr>
        <w:t xml:space="preserve"> (ф. 0503164). Информация о причинах отклонения от планового процента исполнения, отраженная по коду 99 "Иные причины" в графе 8 </w:t>
      </w:r>
      <w:hyperlink r:id="rId6">
        <w:r w:rsidRPr="00F96841">
          <w:rPr>
            <w:rStyle w:val="a3"/>
            <w:rFonts w:ascii="Times New Roman" w:eastAsia="Calibri" w:hAnsi="Times New Roman" w:cs="Times New Roman"/>
            <w:color w:val="000000"/>
            <w:sz w:val="26"/>
            <w:szCs w:val="26"/>
            <w:u w:val="none"/>
          </w:rPr>
          <w:t>раздела 2</w:t>
        </w:r>
      </w:hyperlink>
      <w:r w:rsidRPr="00F9684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"Расходы бюджета" представлена в следующей таблице.</w:t>
      </w:r>
    </w:p>
    <w:p w:rsidR="00FA08AC" w:rsidRDefault="005B3949">
      <w:pPr>
        <w:shd w:val="clear" w:color="auto" w:fill="FFFFFF"/>
        <w:ind w:firstLine="700"/>
        <w:jc w:val="both"/>
        <w:rPr>
          <w:color w:val="000000"/>
          <w:shd w:val="clear" w:color="auto" w:fill="FFFFFF"/>
        </w:rPr>
      </w:pPr>
      <w:r>
        <w:rPr>
          <w:rFonts w:ascii="Times New Roman" w:eastAsia="Times New Roman" w:hAnsi="Times New Roman" w:cs="Times New Roman"/>
          <w:color w:val="000000"/>
          <w:sz w:val="26"/>
          <w:szCs w:val="26"/>
        </w:rPr>
        <w:t> </w:t>
      </w:r>
    </w:p>
    <w:tbl>
      <w:tblPr>
        <w:tblW w:w="1006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2982"/>
        <w:gridCol w:w="595"/>
        <w:gridCol w:w="6488"/>
      </w:tblGrid>
      <w:tr w:rsidR="00FA08AC">
        <w:trPr>
          <w:trHeight w:val="528"/>
        </w:trPr>
        <w:tc>
          <w:tcPr>
            <w:tcW w:w="298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 xml:space="preserve">Код по </w:t>
            </w:r>
            <w:proofErr w:type="gramStart"/>
            <w:r>
              <w:rPr>
                <w:rFonts w:ascii="Times New Roman" w:eastAsia="Times New Roman" w:hAnsi="Times New Roman" w:cs="Times New Roman"/>
                <w:color w:val="000000"/>
              </w:rPr>
              <w:t>бюджетной</w:t>
            </w:r>
            <w:proofErr w:type="gramEnd"/>
          </w:p>
          <w:p w:rsidR="00FA08AC" w:rsidRDefault="005B3949">
            <w:pPr>
              <w:jc w:val="center"/>
              <w:rPr>
                <w:color w:val="000000"/>
              </w:rPr>
            </w:pPr>
            <w:r>
              <w:rPr>
                <w:rFonts w:ascii="Times New Roman" w:eastAsia="Times New Roman" w:hAnsi="Times New Roman" w:cs="Times New Roman"/>
                <w:color w:val="000000"/>
              </w:rPr>
              <w:t>классификации</w:t>
            </w:r>
          </w:p>
        </w:tc>
        <w:tc>
          <w:tcPr>
            <w:tcW w:w="70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color w:val="000000"/>
              </w:rPr>
              <w:t>Причины отклонений от планового процента</w:t>
            </w:r>
          </w:p>
        </w:tc>
      </w:tr>
      <w:tr w:rsidR="00FA08AC">
        <w:trPr>
          <w:trHeight w:val="253"/>
        </w:trPr>
        <w:tc>
          <w:tcPr>
            <w:tcW w:w="298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FA08AC">
            <w:pPr>
              <w:rPr>
                <w:color w:val="000000"/>
              </w:rPr>
            </w:pPr>
          </w:p>
        </w:tc>
        <w:tc>
          <w:tcPr>
            <w:tcW w:w="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color w:val="000000"/>
              </w:rPr>
              <w:t>код</w:t>
            </w:r>
          </w:p>
        </w:tc>
        <w:tc>
          <w:tcPr>
            <w:tcW w:w="6488" w:type="dxa"/>
            <w:tcBorders>
              <w:top w:val="single" w:sz="8" w:space="0" w:color="000000"/>
              <w:left w:val="single" w:sz="8" w:space="0" w:color="000000"/>
              <w:bottom w:val="single" w:sz="8" w:space="0" w:color="000000"/>
              <w:right w:val="single" w:sz="8" w:space="0" w:color="000000"/>
            </w:tcBorders>
            <w:shd w:val="clear" w:color="auto" w:fill="FFFFFF"/>
            <w:tcMar>
              <w:top w:w="0" w:type="dxa"/>
              <w:bottom w:w="0" w:type="dxa"/>
            </w:tcMar>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color w:val="000000"/>
              </w:rPr>
              <w:t>пояснения</w:t>
            </w:r>
          </w:p>
        </w:tc>
      </w:tr>
      <w:tr w:rsidR="00FA08AC">
        <w:trPr>
          <w:trHeight w:val="446"/>
        </w:trPr>
        <w:tc>
          <w:tcPr>
            <w:tcW w:w="29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FA08AC" w:rsidRDefault="005B3949">
            <w:pPr>
              <w:rPr>
                <w:color w:val="000000"/>
              </w:rPr>
            </w:pPr>
            <w:r>
              <w:rPr>
                <w:rFonts w:ascii="Times New Roman" w:eastAsia="Times New Roman" w:hAnsi="Times New Roman" w:cs="Times New Roman"/>
                <w:b/>
                <w:color w:val="000000"/>
              </w:rPr>
              <w:t>2. Расходы бюджета, всего</w:t>
            </w:r>
          </w:p>
        </w:tc>
        <w:tc>
          <w:tcPr>
            <w:tcW w:w="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b/>
                <w:color w:val="000000"/>
              </w:rPr>
              <w:t>х</w:t>
            </w:r>
          </w:p>
        </w:tc>
        <w:tc>
          <w:tcPr>
            <w:tcW w:w="6488" w:type="dxa"/>
            <w:tcBorders>
              <w:top w:val="single" w:sz="8" w:space="0" w:color="000000"/>
              <w:left w:val="single" w:sz="8" w:space="0" w:color="000000"/>
              <w:bottom w:val="single" w:sz="8" w:space="0" w:color="000000"/>
              <w:right w:val="single" w:sz="8" w:space="0" w:color="000000"/>
            </w:tcBorders>
            <w:shd w:val="clear" w:color="auto" w:fill="FFFFFF"/>
            <w:tcMar>
              <w:top w:w="0" w:type="dxa"/>
              <w:bottom w:w="0" w:type="dxa"/>
            </w:tcMar>
            <w:vAlign w:val="bottom"/>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b/>
                <w:color w:val="000000"/>
              </w:rPr>
              <w:t>х</w:t>
            </w:r>
          </w:p>
        </w:tc>
      </w:tr>
      <w:tr w:rsidR="00FA08AC">
        <w:trPr>
          <w:trHeight w:val="268"/>
        </w:trPr>
        <w:tc>
          <w:tcPr>
            <w:tcW w:w="29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FA08AC" w:rsidRDefault="005B3949">
            <w:pPr>
              <w:rPr>
                <w:color w:val="000000"/>
              </w:rPr>
            </w:pPr>
            <w:r>
              <w:rPr>
                <w:rFonts w:ascii="Times New Roman" w:eastAsia="Times New Roman" w:hAnsi="Times New Roman" w:cs="Times New Roman"/>
                <w:color w:val="000000"/>
              </w:rPr>
              <w:t>033 0705 0230180010 000</w:t>
            </w:r>
          </w:p>
        </w:tc>
        <w:tc>
          <w:tcPr>
            <w:tcW w:w="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A08AC" w:rsidRDefault="005B3949">
            <w:pPr>
              <w:shd w:val="clear" w:color="auto" w:fill="FFFFFF"/>
              <w:jc w:val="center"/>
              <w:rPr>
                <w:color w:val="000000"/>
                <w:shd w:val="clear" w:color="auto" w:fill="FFFFFF"/>
              </w:rPr>
            </w:pPr>
            <w:r>
              <w:rPr>
                <w:rFonts w:ascii="Times New Roman" w:eastAsia="Times New Roman" w:hAnsi="Times New Roman" w:cs="Times New Roman"/>
                <w:color w:val="000000"/>
              </w:rPr>
              <w:t>99</w:t>
            </w:r>
          </w:p>
        </w:tc>
        <w:tc>
          <w:tcPr>
            <w:tcW w:w="6488" w:type="dxa"/>
            <w:tcBorders>
              <w:top w:val="single" w:sz="8" w:space="0" w:color="000000"/>
              <w:left w:val="single" w:sz="8" w:space="0" w:color="000000"/>
              <w:bottom w:val="single" w:sz="8" w:space="0" w:color="000000"/>
              <w:right w:val="single" w:sz="8" w:space="0" w:color="000000"/>
            </w:tcBorders>
            <w:shd w:val="clear" w:color="auto" w:fill="FFFFFF"/>
            <w:tcMar>
              <w:top w:w="0" w:type="dxa"/>
              <w:bottom w:w="0" w:type="dxa"/>
            </w:tcMar>
            <w:vAlign w:val="bottom"/>
            <w:hideMark/>
          </w:tcPr>
          <w:p w:rsidR="00FA08AC" w:rsidRDefault="005B3949">
            <w:pPr>
              <w:shd w:val="clear" w:color="auto" w:fill="FFFFFF"/>
              <w:rPr>
                <w:color w:val="000000"/>
                <w:shd w:val="clear" w:color="auto" w:fill="FFFFFF"/>
              </w:rPr>
            </w:pPr>
            <w:r>
              <w:rPr>
                <w:rFonts w:ascii="Times New Roman" w:eastAsia="Times New Roman" w:hAnsi="Times New Roman" w:cs="Times New Roman"/>
                <w:color w:val="000000"/>
                <w:sz w:val="24"/>
                <w:szCs w:val="24"/>
              </w:rPr>
              <w:t>Реальная стоимость курсов повышения квалификации оказалась ниже планируемой</w:t>
            </w:r>
          </w:p>
        </w:tc>
      </w:tr>
    </w:tbl>
    <w:p w:rsidR="00FA08AC" w:rsidRDefault="005B3949">
      <w:pPr>
        <w:ind w:firstLine="720"/>
        <w:jc w:val="both"/>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Принятие бюджетных и денежных обязатель</w:t>
      </w:r>
      <w:proofErr w:type="gramStart"/>
      <w:r>
        <w:rPr>
          <w:rFonts w:ascii="Times New Roman" w:eastAsia="Times New Roman" w:hAnsi="Times New Roman" w:cs="Times New Roman"/>
          <w:color w:val="000000"/>
          <w:sz w:val="26"/>
          <w:szCs w:val="26"/>
        </w:rPr>
        <w:t>ств св</w:t>
      </w:r>
      <w:proofErr w:type="gramEnd"/>
      <w:r>
        <w:rPr>
          <w:rFonts w:ascii="Times New Roman" w:eastAsia="Times New Roman" w:hAnsi="Times New Roman" w:cs="Times New Roman"/>
          <w:color w:val="000000"/>
          <w:sz w:val="26"/>
          <w:szCs w:val="26"/>
        </w:rPr>
        <w:t>ерх утвержденных бюджетных ассигнований и лимитов бюджетных обязательств в 2025 году не допускалось.</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Раскрытие информации согласно приказу Минфина России от 30.12.2017 № 278н "Об утверждении федерального стандарта бухгалтерского учета для организаций государственного сектора "Отчет о движении денежных средств": </w:t>
      </w:r>
    </w:p>
    <w:p w:rsidR="00FA08AC" w:rsidRDefault="005B3949">
      <w:pPr>
        <w:ind w:firstLine="720"/>
        <w:jc w:val="both"/>
        <w:rPr>
          <w:color w:val="000000"/>
        </w:rPr>
      </w:pPr>
      <w:r>
        <w:rPr>
          <w:rFonts w:ascii="Times New Roman" w:eastAsia="Times New Roman" w:hAnsi="Times New Roman" w:cs="Times New Roman"/>
          <w:color w:val="000000"/>
          <w:sz w:val="26"/>
          <w:szCs w:val="26"/>
        </w:rPr>
        <w:t>- о составе денежных средств и эквивалентов денежных средств отражено в приложении 1;</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 об отклонении при сверке суммы денежных потоков от текущих операций, представленной в Отчете о движении денежных средств (ф.0503123), и чистого операционного результата, отраженного в Отчете о финансовых результатах деятельности (ф.0503121), а также причины этих отклонений представлены в приложении 2. </w:t>
      </w:r>
    </w:p>
    <w:p w:rsidR="00FA08AC" w:rsidRDefault="005B3949">
      <w:pPr>
        <w:ind w:firstLine="720"/>
        <w:jc w:val="both"/>
        <w:rPr>
          <w:color w:val="000000"/>
        </w:rPr>
      </w:pPr>
      <w:r>
        <w:rPr>
          <w:rFonts w:ascii="Calibri" w:eastAsia="Calibri" w:hAnsi="Calibri" w:cs="Calibri"/>
          <w:color w:val="000000"/>
        </w:rPr>
        <w:t> </w:t>
      </w:r>
      <w:r>
        <w:rPr>
          <w:rFonts w:ascii="Times New Roman" w:eastAsia="Times New Roman" w:hAnsi="Times New Roman" w:cs="Times New Roman"/>
          <w:b/>
          <w:color w:val="000000"/>
          <w:sz w:val="26"/>
          <w:szCs w:val="26"/>
        </w:rPr>
        <w:t> </w:t>
      </w:r>
    </w:p>
    <w:p w:rsidR="00FA08AC" w:rsidRDefault="005B3949">
      <w:pPr>
        <w:ind w:firstLine="560"/>
        <w:jc w:val="center"/>
        <w:rPr>
          <w:color w:val="000000"/>
        </w:rPr>
      </w:pPr>
      <w:r>
        <w:rPr>
          <w:rFonts w:ascii="Times New Roman" w:eastAsia="Times New Roman" w:hAnsi="Times New Roman" w:cs="Times New Roman"/>
          <w:b/>
          <w:color w:val="000000"/>
          <w:sz w:val="26"/>
          <w:szCs w:val="26"/>
        </w:rPr>
        <w:t xml:space="preserve">Раздел 4. Анализ показателей бухгалтерской отчетности </w:t>
      </w:r>
    </w:p>
    <w:p w:rsidR="00FA08AC" w:rsidRDefault="005B3949">
      <w:pPr>
        <w:ind w:firstLine="560"/>
        <w:jc w:val="center"/>
        <w:rPr>
          <w:color w:val="000000"/>
        </w:rPr>
      </w:pPr>
      <w:r>
        <w:rPr>
          <w:rFonts w:ascii="Times New Roman" w:eastAsia="Times New Roman" w:hAnsi="Times New Roman" w:cs="Times New Roman"/>
          <w:b/>
          <w:color w:val="000000"/>
          <w:sz w:val="26"/>
          <w:szCs w:val="26"/>
        </w:rPr>
        <w:t>субъекта бюджетной отчетности</w:t>
      </w:r>
    </w:p>
    <w:p w:rsidR="00FA08AC" w:rsidRDefault="005B3949">
      <w:pPr>
        <w:rPr>
          <w:color w:val="000000"/>
        </w:rPr>
      </w:pPr>
      <w:r>
        <w:rPr>
          <w:rFonts w:ascii="Calibri" w:eastAsia="Calibri" w:hAnsi="Calibri" w:cs="Calibri"/>
          <w:color w:val="000000"/>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lastRenderedPageBreak/>
        <w:t xml:space="preserve">В Управлении финансов в 2025 году получены доходы от необменных операций - поступления текущего характера от других бюджетов бюджетной системы Российской Федерации (КОСГУ 151) </w:t>
      </w:r>
      <w:r>
        <w:rPr>
          <w:rFonts w:ascii="Calibri" w:eastAsia="Calibri" w:hAnsi="Calibri" w:cs="Calibri"/>
          <w:color w:val="000000"/>
          <w:sz w:val="26"/>
          <w:szCs w:val="26"/>
        </w:rPr>
        <w:t xml:space="preserve">- </w:t>
      </w:r>
      <w:r>
        <w:rPr>
          <w:rFonts w:ascii="Times New Roman" w:eastAsia="Times New Roman" w:hAnsi="Times New Roman" w:cs="Times New Roman"/>
          <w:color w:val="000000"/>
          <w:sz w:val="26"/>
          <w:szCs w:val="26"/>
        </w:rPr>
        <w:t>дотации бюджетам городских округов на выравнивание бюджетной обеспеченности из бюджета субъекта Российской Федерации в сумме 170 680 400,00 руб.</w:t>
      </w:r>
    </w:p>
    <w:p w:rsidR="00F96841" w:rsidRDefault="005B3949">
      <w:pPr>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Сведения о движении нефинансовых активов отражены в форме 0503168 "Сведения о движении нефинансовых активов". Раскрытие дополнительной информации в соответствии с приказом Минфина России от 31.12.2016 № 257н "Об утверждении федерального стандарта бухгалтерского учета для организаций государственного сектора "Основные средства" отражено в следующей таблице: </w:t>
      </w:r>
    </w:p>
    <w:p w:rsidR="00FA08AC" w:rsidRDefault="005B3949">
      <w:pPr>
        <w:ind w:firstLine="720"/>
        <w:jc w:val="both"/>
        <w:rPr>
          <w:color w:val="000000"/>
        </w:rPr>
      </w:pPr>
      <w:r>
        <w:rPr>
          <w:rFonts w:ascii="Times New Roman" w:eastAsia="Times New Roman" w:hAnsi="Times New Roman" w:cs="Times New Roman"/>
          <w:color w:val="000000"/>
          <w:sz w:val="26"/>
          <w:szCs w:val="26"/>
        </w:rPr>
        <w:t> </w:t>
      </w:r>
    </w:p>
    <w:tbl>
      <w:tblPr>
        <w:tblW w:w="10185" w:type="dxa"/>
        <w:tblBorders>
          <w:top w:val="nil"/>
          <w:left w:val="nil"/>
          <w:bottom w:val="nil"/>
          <w:right w:val="nil"/>
        </w:tblBorders>
        <w:tblCellMar>
          <w:left w:w="0" w:type="dxa"/>
          <w:right w:w="0" w:type="dxa"/>
        </w:tblCellMar>
        <w:tblLook w:val="04A0" w:firstRow="1" w:lastRow="0" w:firstColumn="1" w:lastColumn="0" w:noHBand="0" w:noVBand="1"/>
      </w:tblPr>
      <w:tblGrid>
        <w:gridCol w:w="4509"/>
        <w:gridCol w:w="1844"/>
        <w:gridCol w:w="1845"/>
        <w:gridCol w:w="1987"/>
      </w:tblGrid>
      <w:tr w:rsidR="00FA08AC">
        <w:tc>
          <w:tcPr>
            <w:tcW w:w="45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Наименование показателя</w:t>
            </w:r>
          </w:p>
        </w:tc>
        <w:tc>
          <w:tcPr>
            <w:tcW w:w="184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Всего, руб.</w:t>
            </w:r>
          </w:p>
        </w:tc>
        <w:tc>
          <w:tcPr>
            <w:tcW w:w="383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В т.ч. по группам объектов</w:t>
            </w:r>
          </w:p>
        </w:tc>
      </w:tr>
      <w:tr w:rsidR="00FA08AC">
        <w:tc>
          <w:tcPr>
            <w:tcW w:w="450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FA08AC"/>
        </w:tc>
        <w:tc>
          <w:tcPr>
            <w:tcW w:w="1844"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FA08AC">
            <w:pPr>
              <w:rPr>
                <w:color w:val="000000"/>
              </w:rPr>
            </w:pP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машины и оборудование, руб.</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инвентарь производственный и хозяйственный, руб.</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1. Поступление объектов основных средств, из них:</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176 453,00</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176 453,00</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приобретено объектов основных средств</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176 453,00</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176 453,00</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2. Выбытие объектов основных средств, из них:</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97 640,00</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97 640,00</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передано объектов основных средств</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0,00 </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3. Начисление амортизации по объектам основных средств</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95 613,00</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95 613,00</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4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4. Сумма накопленной амортизации по объектам основных средств на отчетную дату</w:t>
            </w:r>
          </w:p>
        </w:tc>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3 120 677,55</w:t>
            </w:r>
          </w:p>
        </w:tc>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2 194 652,55</w:t>
            </w:r>
          </w:p>
        </w:tc>
        <w:tc>
          <w:tcPr>
            <w:tcW w:w="19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926 025,00</w:t>
            </w:r>
          </w:p>
        </w:tc>
      </w:tr>
    </w:tbl>
    <w:p w:rsidR="00FA08AC" w:rsidRDefault="005B3949">
      <w:pPr>
        <w:rPr>
          <w:color w:val="000000"/>
        </w:rPr>
      </w:pPr>
      <w:r>
        <w:rPr>
          <w:rFonts w:ascii="Times New Roman" w:eastAsia="Times New Roman" w:hAnsi="Times New Roman" w:cs="Times New Roman"/>
          <w:color w:val="000000"/>
        </w:rPr>
        <w:t> </w:t>
      </w:r>
    </w:p>
    <w:p w:rsidR="00FA08AC" w:rsidRDefault="005B3949">
      <w:pPr>
        <w:ind w:firstLine="700"/>
        <w:jc w:val="both"/>
        <w:rPr>
          <w:color w:val="000000"/>
        </w:rPr>
      </w:pPr>
      <w:r>
        <w:rPr>
          <w:rFonts w:ascii="Times New Roman" w:eastAsia="Times New Roman" w:hAnsi="Times New Roman" w:cs="Times New Roman"/>
          <w:color w:val="000000"/>
          <w:sz w:val="26"/>
          <w:szCs w:val="26"/>
        </w:rPr>
        <w:t xml:space="preserve">Информация в соответствии с приказом Минфина России от 15.11.2019 № 181н "Об утверждении федерального стандарта бухгалтерского учета государственных финансов "Нематериальные активы" - срок полезного использования нематериальными активами определяется постоянно действующей комиссией при принятии к учету, а также при проведении годовой </w:t>
      </w:r>
      <w:proofErr w:type="gramStart"/>
      <w:r>
        <w:rPr>
          <w:rFonts w:ascii="Times New Roman" w:eastAsia="Times New Roman" w:hAnsi="Times New Roman" w:cs="Times New Roman"/>
          <w:color w:val="000000"/>
          <w:sz w:val="26"/>
          <w:szCs w:val="26"/>
        </w:rPr>
        <w:t>инвентаризации</w:t>
      </w:r>
      <w:proofErr w:type="gramEnd"/>
      <w:r>
        <w:rPr>
          <w:rFonts w:ascii="Times New Roman" w:eastAsia="Times New Roman" w:hAnsi="Times New Roman" w:cs="Times New Roman"/>
          <w:color w:val="000000"/>
          <w:sz w:val="26"/>
          <w:szCs w:val="26"/>
        </w:rPr>
        <w:t xml:space="preserve"> перед составлением годовой отчетности исходя из: </w:t>
      </w:r>
    </w:p>
    <w:p w:rsidR="00FA08AC" w:rsidRDefault="005B3949">
      <w:pPr>
        <w:ind w:firstLine="700"/>
        <w:jc w:val="both"/>
        <w:rPr>
          <w:color w:val="000000"/>
        </w:rPr>
      </w:pPr>
      <w:r>
        <w:rPr>
          <w:rFonts w:ascii="Times New Roman" w:eastAsia="Times New Roman" w:hAnsi="Times New Roman" w:cs="Times New Roman"/>
          <w:color w:val="000000"/>
          <w:sz w:val="26"/>
          <w:szCs w:val="26"/>
        </w:rPr>
        <w:t>- срока действия прав Управления финансов на результат интеллектуальной деятельности и периода контроля над активом;</w:t>
      </w:r>
    </w:p>
    <w:p w:rsidR="00FA08AC" w:rsidRDefault="005B3949">
      <w:pPr>
        <w:ind w:firstLine="700"/>
        <w:jc w:val="both"/>
        <w:rPr>
          <w:color w:val="000000"/>
        </w:rPr>
      </w:pPr>
      <w:r>
        <w:rPr>
          <w:rFonts w:ascii="Times New Roman" w:eastAsia="Times New Roman" w:hAnsi="Times New Roman" w:cs="Times New Roman"/>
          <w:color w:val="000000"/>
          <w:sz w:val="26"/>
          <w:szCs w:val="26"/>
        </w:rPr>
        <w:t>- ожидаемого срока использования актива, в течение которого Управление финансов предполагает использовать актив в деятельности, направленной на достижение целей создания Управление финансов.</w:t>
      </w:r>
    </w:p>
    <w:p w:rsidR="00FA08AC" w:rsidRDefault="005B3949">
      <w:pPr>
        <w:ind w:firstLine="720"/>
        <w:jc w:val="both"/>
        <w:rPr>
          <w:color w:val="000000"/>
        </w:rPr>
      </w:pPr>
      <w:r>
        <w:rPr>
          <w:rFonts w:ascii="Times New Roman" w:eastAsia="Times New Roman" w:hAnsi="Times New Roman" w:cs="Times New Roman"/>
          <w:color w:val="000000"/>
          <w:sz w:val="26"/>
          <w:szCs w:val="26"/>
        </w:rPr>
        <w:t>Амортизация по всем нематериальным активам начисляется линейным методом.</w:t>
      </w:r>
    </w:p>
    <w:p w:rsidR="00FA08AC" w:rsidRDefault="005B3949">
      <w:pPr>
        <w:ind w:firstLine="700"/>
        <w:jc w:val="both"/>
        <w:rPr>
          <w:color w:val="000000"/>
        </w:rPr>
      </w:pPr>
      <w:r>
        <w:rPr>
          <w:rFonts w:ascii="Times New Roman" w:eastAsia="Times New Roman" w:hAnsi="Times New Roman" w:cs="Times New Roman"/>
          <w:color w:val="000000"/>
          <w:sz w:val="26"/>
          <w:szCs w:val="26"/>
        </w:rPr>
        <w:t>В 2025 году балансовая стоимость прав пользования нематериальными активами на начало года составила 452 131,85 руб., из них с определенным сроком полезного использования – 88 000,00 руб., на конец года – 364 131,85 руб., из них с определенным сроком полезного использования – 0,00 руб. Все права приобретены по лицензионным (</w:t>
      </w:r>
      <w:proofErr w:type="spellStart"/>
      <w:r>
        <w:rPr>
          <w:rFonts w:ascii="Times New Roman" w:eastAsia="Times New Roman" w:hAnsi="Times New Roman" w:cs="Times New Roman"/>
          <w:color w:val="000000"/>
          <w:sz w:val="26"/>
          <w:szCs w:val="26"/>
        </w:rPr>
        <w:t>сублицензионным</w:t>
      </w:r>
      <w:proofErr w:type="spellEnd"/>
      <w:r>
        <w:rPr>
          <w:rFonts w:ascii="Times New Roman" w:eastAsia="Times New Roman" w:hAnsi="Times New Roman" w:cs="Times New Roman"/>
          <w:color w:val="000000"/>
          <w:sz w:val="26"/>
          <w:szCs w:val="26"/>
        </w:rPr>
        <w:t>) договорам (соглашениям).</w:t>
      </w:r>
    </w:p>
    <w:p w:rsidR="00FA08AC" w:rsidRDefault="005B3949">
      <w:pPr>
        <w:ind w:firstLine="700"/>
        <w:jc w:val="both"/>
        <w:rPr>
          <w:color w:val="000000"/>
        </w:rPr>
      </w:pPr>
      <w:r>
        <w:rPr>
          <w:rFonts w:ascii="Times New Roman" w:eastAsia="Times New Roman" w:hAnsi="Times New Roman" w:cs="Times New Roman"/>
          <w:color w:val="000000"/>
          <w:sz w:val="26"/>
          <w:szCs w:val="26"/>
        </w:rPr>
        <w:lastRenderedPageBreak/>
        <w:t>Остаточная стоимость</w:t>
      </w:r>
      <w:r w:rsidR="00F9684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прав пользования нематериальными активами на начало года составила 364 131,85 руб., в том числе с неопределенным сроком полезного ис</w:t>
      </w:r>
      <w:r w:rsidR="00F96841">
        <w:rPr>
          <w:rFonts w:ascii="Times New Roman" w:eastAsia="Times New Roman" w:hAnsi="Times New Roman" w:cs="Times New Roman"/>
          <w:color w:val="000000"/>
          <w:sz w:val="26"/>
          <w:szCs w:val="26"/>
        </w:rPr>
        <w:t xml:space="preserve">пользования – 364 131,85 руб., </w:t>
      </w:r>
      <w:r>
        <w:rPr>
          <w:rFonts w:ascii="Times New Roman" w:eastAsia="Times New Roman" w:hAnsi="Times New Roman" w:cs="Times New Roman"/>
          <w:color w:val="000000"/>
          <w:sz w:val="26"/>
          <w:szCs w:val="26"/>
        </w:rPr>
        <w:t>на конец года – 364 131,85 руб., в том числе с неопределенным сроком полезного использования – 364 131,85 руб.</w:t>
      </w:r>
    </w:p>
    <w:p w:rsidR="00FA08AC" w:rsidRDefault="005B3949">
      <w:pPr>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Раскрытие дополнительной информации в соответствии с приказом Минфина России от 15.11.2019 № 181н "Об утверждении федерального стандарта бухгалтерского учета государственных финансов "Нематериальные активы" отражено в следующей таблице:</w:t>
      </w:r>
    </w:p>
    <w:p w:rsidR="00F96841" w:rsidRDefault="00F96841">
      <w:pPr>
        <w:ind w:firstLine="720"/>
        <w:jc w:val="both"/>
        <w:rPr>
          <w:color w:val="000000"/>
        </w:rPr>
      </w:pPr>
    </w:p>
    <w:tbl>
      <w:tblPr>
        <w:tblW w:w="10185" w:type="dxa"/>
        <w:tblBorders>
          <w:top w:val="nil"/>
          <w:left w:val="nil"/>
          <w:bottom w:val="nil"/>
          <w:right w:val="nil"/>
        </w:tblBorders>
        <w:tblCellMar>
          <w:left w:w="0" w:type="dxa"/>
          <w:right w:w="0" w:type="dxa"/>
        </w:tblCellMar>
        <w:tblLook w:val="04A0" w:firstRow="1" w:lastRow="0" w:firstColumn="1" w:lastColumn="0" w:noHBand="0" w:noVBand="1"/>
      </w:tblPr>
      <w:tblGrid>
        <w:gridCol w:w="5784"/>
        <w:gridCol w:w="2271"/>
        <w:gridCol w:w="2130"/>
      </w:tblGrid>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Наименование показателя</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Всего, руб.</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Права пользования нематериальными активами, руб.</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1. Поступление объектов нематериальных активов, из них:</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приобретение объектов нематериальных активов</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2. Выбытие объектов нематериальных активов</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88 000,00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88 000,00</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3. Начисление амортизации по объектам нематериальных активов</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4. Сумма накопленной амортизации по объектам нематериальных активов на отчетную дату</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r w:rsidR="00FA08AC">
        <w:tc>
          <w:tcPr>
            <w:tcW w:w="5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5. Балансовая стоимость объектов нематериальных активов, находящихся в эксплуатации и имеющих нулевую остаточную стоимость</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0,00</w:t>
            </w:r>
          </w:p>
        </w:tc>
      </w:tr>
    </w:tbl>
    <w:p w:rsidR="00FA08AC" w:rsidRDefault="005B3949">
      <w:pPr>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Информация в соответствии с приказом Минфина России от 07.12.2018 № 256н "Об утверждении федерального стандарта бухгалтерского учета для организаций государственного сектора "Запасы" -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FA08AC" w:rsidRDefault="005B3949">
      <w:pPr>
        <w:rPr>
          <w:color w:val="000000"/>
        </w:rPr>
      </w:pPr>
      <w:r>
        <w:rPr>
          <w:rFonts w:ascii="Times New Roman" w:eastAsia="Times New Roman" w:hAnsi="Times New Roman" w:cs="Times New Roman"/>
          <w:color w:val="000000"/>
          <w:sz w:val="14"/>
          <w:szCs w:val="14"/>
        </w:rPr>
        <w:t> </w:t>
      </w:r>
    </w:p>
    <w:tbl>
      <w:tblPr>
        <w:tblW w:w="10185" w:type="dxa"/>
        <w:tblBorders>
          <w:top w:val="nil"/>
          <w:left w:val="nil"/>
          <w:bottom w:val="nil"/>
          <w:right w:val="nil"/>
        </w:tblBorders>
        <w:tblCellMar>
          <w:left w:w="0" w:type="dxa"/>
          <w:right w:w="0" w:type="dxa"/>
        </w:tblCellMar>
        <w:tblLook w:val="04A0" w:firstRow="1" w:lastRow="0" w:firstColumn="1" w:lastColumn="0" w:noHBand="0" w:noVBand="1"/>
      </w:tblPr>
      <w:tblGrid>
        <w:gridCol w:w="4081"/>
        <w:gridCol w:w="2981"/>
        <w:gridCol w:w="3123"/>
      </w:tblGrid>
      <w:tr w:rsidR="00FA08AC">
        <w:trPr>
          <w:trHeight w:val="536"/>
        </w:trPr>
        <w:tc>
          <w:tcPr>
            <w:tcW w:w="40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Группа материальных запасов</w:t>
            </w:r>
          </w:p>
        </w:tc>
        <w:tc>
          <w:tcPr>
            <w:tcW w:w="29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Общая балансовая стоимость на 31.12.2025, руб.</w:t>
            </w:r>
          </w:p>
        </w:tc>
        <w:tc>
          <w:tcPr>
            <w:tcW w:w="3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Учитываемые по первоначальной стоимости, руб.</w:t>
            </w:r>
          </w:p>
        </w:tc>
      </w:tr>
      <w:tr w:rsidR="00FA08AC">
        <w:tc>
          <w:tcPr>
            <w:tcW w:w="40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Медикаменты и перевязочные средства</w:t>
            </w:r>
          </w:p>
        </w:tc>
        <w:tc>
          <w:tcPr>
            <w:tcW w:w="29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950,00</w:t>
            </w:r>
          </w:p>
        </w:tc>
        <w:tc>
          <w:tcPr>
            <w:tcW w:w="3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950,00</w:t>
            </w:r>
          </w:p>
        </w:tc>
      </w:tr>
      <w:tr w:rsidR="00FA08AC">
        <w:trPr>
          <w:trHeight w:val="271"/>
        </w:trPr>
        <w:tc>
          <w:tcPr>
            <w:tcW w:w="40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Прочие материальные запасы</w:t>
            </w:r>
          </w:p>
        </w:tc>
        <w:tc>
          <w:tcPr>
            <w:tcW w:w="29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260 188,88</w:t>
            </w:r>
          </w:p>
        </w:tc>
        <w:tc>
          <w:tcPr>
            <w:tcW w:w="3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260 188,88</w:t>
            </w:r>
          </w:p>
        </w:tc>
      </w:tr>
      <w:tr w:rsidR="00FA08AC">
        <w:tc>
          <w:tcPr>
            <w:tcW w:w="40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Итого</w:t>
            </w:r>
          </w:p>
        </w:tc>
        <w:tc>
          <w:tcPr>
            <w:tcW w:w="29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261 138,38</w:t>
            </w:r>
          </w:p>
        </w:tc>
        <w:tc>
          <w:tcPr>
            <w:tcW w:w="3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261 138,38</w:t>
            </w:r>
          </w:p>
        </w:tc>
      </w:tr>
    </w:tbl>
    <w:p w:rsidR="00FA08AC" w:rsidRDefault="005B3949">
      <w:pPr>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Материальные запасы израсходованы в 2025 году на нужды Управления финансов в сумме 105 436,95 руб.</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По состоянию на 31.12.2025 на основании числовых показателей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 отражены расходы будущих периодов по счету 0 401 50 000 в сумме 86 802,22 руб. (стр. 160). К расходам будущих периодов отнесены расходы, произведенные Управлением финансов на приобретение неисключительного права пользования нематериальными активами, </w:t>
      </w:r>
      <w:r>
        <w:rPr>
          <w:rFonts w:ascii="Times New Roman" w:eastAsia="Times New Roman" w:hAnsi="Times New Roman" w:cs="Times New Roman"/>
          <w:color w:val="000000"/>
          <w:sz w:val="26"/>
          <w:szCs w:val="26"/>
        </w:rPr>
        <w:lastRenderedPageBreak/>
        <w:t>срок полезного использования которых истекает в очередном финансовом году в сумме 86 802,22 руб.</w:t>
      </w:r>
    </w:p>
    <w:p w:rsidR="00FA08AC" w:rsidRDefault="005B3949">
      <w:pPr>
        <w:ind w:firstLine="700"/>
        <w:jc w:val="both"/>
        <w:rPr>
          <w:color w:val="000000"/>
        </w:rPr>
      </w:pPr>
      <w:proofErr w:type="gramStart"/>
      <w:r>
        <w:rPr>
          <w:rFonts w:ascii="Times New Roman" w:eastAsia="Times New Roman" w:hAnsi="Times New Roman" w:cs="Times New Roman"/>
          <w:color w:val="000000"/>
          <w:sz w:val="26"/>
          <w:szCs w:val="26"/>
        </w:rPr>
        <w:t xml:space="preserve">Сведения о состоянии расчетов по дебиторской и кредиторской задолженностям с указанием сумм на начало года и на конец отчетного периода, а также с расшифровкой по КБК расходов, представлены в Сведениях по дебиторской и кредиторской задолженности </w:t>
      </w:r>
      <w:hyperlink r:id="rId7">
        <w:r w:rsidRPr="00F96841">
          <w:rPr>
            <w:rStyle w:val="a3"/>
            <w:rFonts w:ascii="Times New Roman" w:eastAsia="Calibri" w:hAnsi="Times New Roman" w:cs="Times New Roman"/>
            <w:color w:val="000000"/>
            <w:sz w:val="26"/>
            <w:szCs w:val="26"/>
            <w:u w:val="none"/>
          </w:rPr>
          <w:t>(ф. 0503169)</w:t>
        </w:r>
      </w:hyperlink>
      <w:r w:rsidRPr="00F96841">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Дебиторская задолженность по сравнению с 2024 годом уменьшилась на 50 559,41 руб. или 59,2 % и составила 34 800,00 руб. - перечислен аванс за подписные</w:t>
      </w:r>
      <w:proofErr w:type="gramEnd"/>
      <w:r>
        <w:rPr>
          <w:rFonts w:ascii="Times New Roman" w:eastAsia="Times New Roman" w:hAnsi="Times New Roman" w:cs="Times New Roman"/>
          <w:color w:val="000000"/>
          <w:sz w:val="26"/>
          <w:szCs w:val="26"/>
        </w:rPr>
        <w:t xml:space="preserve"> периодические издания ООО Издательский дом "Бюджет", срок поставки с 01.01.2026 по 31.12.202</w:t>
      </w:r>
      <w:bookmarkStart w:id="8" w:name="me197"/>
      <w:bookmarkStart w:id="9" w:name="dst3575"/>
      <w:bookmarkStart w:id="10" w:name="dst3573"/>
      <w:bookmarkStart w:id="11" w:name="dst101261"/>
      <w:bookmarkStart w:id="12" w:name="dst101265"/>
      <w:bookmarkStart w:id="13" w:name="dst101263"/>
      <w:bookmarkStart w:id="14" w:name="dst3571"/>
      <w:bookmarkStart w:id="15" w:name="dst3574"/>
      <w:bookmarkStart w:id="16" w:name="dst101250"/>
      <w:bookmarkStart w:id="17" w:name="dst101258"/>
      <w:bookmarkStart w:id="18" w:name="dst1222"/>
      <w:bookmarkStart w:id="19" w:name="dst101251"/>
      <w:bookmarkStart w:id="20" w:name="dst3572"/>
      <w:bookmarkEnd w:id="8"/>
      <w:bookmarkEnd w:id="9"/>
      <w:bookmarkEnd w:id="10"/>
      <w:bookmarkEnd w:id="11"/>
      <w:bookmarkEnd w:id="12"/>
      <w:bookmarkEnd w:id="13"/>
      <w:bookmarkEnd w:id="14"/>
      <w:bookmarkEnd w:id="15"/>
      <w:bookmarkEnd w:id="16"/>
      <w:bookmarkEnd w:id="17"/>
      <w:bookmarkEnd w:id="18"/>
      <w:bookmarkEnd w:id="19"/>
      <w:bookmarkEnd w:id="20"/>
      <w:r>
        <w:rPr>
          <w:rFonts w:ascii="Times New Roman" w:eastAsia="Times New Roman" w:hAnsi="Times New Roman" w:cs="Times New Roman"/>
          <w:color w:val="000000"/>
          <w:sz w:val="26"/>
          <w:szCs w:val="26"/>
        </w:rPr>
        <w:t>6.</w:t>
      </w:r>
    </w:p>
    <w:p w:rsidR="00FA08AC" w:rsidRDefault="005B3949">
      <w:pPr>
        <w:ind w:firstLine="720"/>
        <w:jc w:val="both"/>
        <w:rPr>
          <w:color w:val="000000"/>
        </w:rPr>
      </w:pPr>
      <w:r>
        <w:rPr>
          <w:rFonts w:ascii="Calibri" w:eastAsia="Calibri" w:hAnsi="Calibri" w:cs="Calibri"/>
          <w:color w:val="000000"/>
        </w:rPr>
        <w:t> </w:t>
      </w:r>
      <w:proofErr w:type="gramStart"/>
      <w:r>
        <w:rPr>
          <w:rFonts w:ascii="Times New Roman" w:eastAsia="Times New Roman" w:hAnsi="Times New Roman" w:cs="Times New Roman"/>
          <w:color w:val="000000"/>
          <w:sz w:val="26"/>
          <w:szCs w:val="26"/>
        </w:rPr>
        <w:t>Кредиторская задолженность по сравнению с 2024 годом уменьшилась на 5 426 499,35 руб., что в 2,5 раза меньше и составляет 3 584 290,53 руб. Уменьшение связано с привлечением на едином счете бюджета остатков средств на казначейских счетах для осуществления и отражения операций с денежными средствами, поступающих во временное распоряжение получателей средств городского бюджета согласно Постановления Администрации муниципального образования "Городской округ</w:t>
      </w:r>
      <w:proofErr w:type="gramEnd"/>
      <w:r>
        <w:rPr>
          <w:rFonts w:ascii="Times New Roman" w:eastAsia="Times New Roman" w:hAnsi="Times New Roman" w:cs="Times New Roman"/>
          <w:color w:val="000000"/>
          <w:sz w:val="26"/>
          <w:szCs w:val="26"/>
        </w:rPr>
        <w:t xml:space="preserve"> "Город Нарьян-Мар" от 22.10.2021 № 1286 "Об утверждении Порядка привлечения остатков средств на единый счет бюджета муниципального образования "Городской округ "Город Нарьян-Мар" и возврата привлеченных средств" (с учетом изменений).</w:t>
      </w:r>
    </w:p>
    <w:p w:rsidR="00FA08AC" w:rsidRDefault="005B3949">
      <w:pPr>
        <w:ind w:firstLine="720"/>
        <w:jc w:val="both"/>
        <w:rPr>
          <w:color w:val="000000"/>
        </w:rPr>
      </w:pPr>
      <w:r>
        <w:rPr>
          <w:rFonts w:ascii="Times New Roman" w:eastAsia="Times New Roman" w:hAnsi="Times New Roman" w:cs="Times New Roman"/>
          <w:color w:val="000000"/>
          <w:sz w:val="26"/>
          <w:szCs w:val="26"/>
        </w:rPr>
        <w:t>По счету  401.60 "Резервы предстоящих расходов" отражен резерв на оплату отпусков и компенсаций за неиспользованный отпуск, включая суммы страховых взносов на 01.01.2025 в сумме 1 456 086,50 руб., на 31.12.2025 в сумме 1 519 568,94 руб.</w:t>
      </w:r>
      <w:r>
        <w:rPr>
          <w:rFonts w:ascii="Times New Roman" w:eastAsia="Times New Roman" w:hAnsi="Times New Roman" w:cs="Times New Roman"/>
          <w:color w:val="FF0000"/>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В разделе 3 Отчета о бюджетных обязательствах (ф. 0503128) отражены обязательства финансовых годов, следующих за текущим (отчетным) финансовым годом в сумме 66 302 868,94 руб., в том числе:</w:t>
      </w:r>
    </w:p>
    <w:p w:rsidR="00FA08AC" w:rsidRDefault="005B3949">
      <w:pPr>
        <w:ind w:firstLine="720"/>
        <w:jc w:val="both"/>
        <w:rPr>
          <w:color w:val="000000"/>
        </w:rPr>
      </w:pPr>
      <w:r>
        <w:rPr>
          <w:rFonts w:ascii="Times New Roman" w:eastAsia="Times New Roman" w:hAnsi="Times New Roman" w:cs="Times New Roman"/>
          <w:color w:val="000000"/>
          <w:sz w:val="26"/>
          <w:szCs w:val="26"/>
        </w:rPr>
        <w:t>- по расходам - отложенные обязательства (резерв на оплату отпусков и компенсаций за неиспользованный отпуск, включая суммы страховых взносов) в сумме 1 519 568,94 руб.;</w:t>
      </w:r>
    </w:p>
    <w:p w:rsidR="00FA08AC" w:rsidRDefault="005B3949">
      <w:pPr>
        <w:ind w:firstLine="720"/>
        <w:jc w:val="both"/>
        <w:rPr>
          <w:color w:val="000000"/>
        </w:rPr>
      </w:pPr>
      <w:r>
        <w:rPr>
          <w:rFonts w:ascii="Times New Roman" w:eastAsia="Times New Roman" w:hAnsi="Times New Roman" w:cs="Times New Roman"/>
          <w:color w:val="000000"/>
          <w:sz w:val="26"/>
          <w:szCs w:val="26"/>
        </w:rPr>
        <w:t>- по выплатам источников финансирования дефицита бюджета - долговые обязательства муниципального образования "Городской округ "Город Нарьян-Мар" в сумме 64 783 300,00 руб.</w:t>
      </w:r>
    </w:p>
    <w:p w:rsidR="00FA08AC" w:rsidRDefault="005B3949">
      <w:pPr>
        <w:ind w:firstLine="720"/>
        <w:jc w:val="both"/>
        <w:rPr>
          <w:color w:val="000000"/>
        </w:rPr>
      </w:pPr>
      <w:proofErr w:type="gramStart"/>
      <w:r>
        <w:rPr>
          <w:rFonts w:ascii="Times New Roman" w:eastAsia="Times New Roman" w:hAnsi="Times New Roman" w:cs="Times New Roman"/>
          <w:color w:val="000000"/>
          <w:sz w:val="26"/>
          <w:szCs w:val="26"/>
        </w:rPr>
        <w:t>Бюджетные обязательства на следующие отчетные периоды приняты в соответствии с доведенными бюджетными назначениями  согласно Решению Совета городского округа "Город Нарьян-Мар" от 18.12.2025 № 152-р "О бюджете муниципального образования "Городской округ "Город Нарьян-Мар" на 2026 год и плановый период 2027 и 2028 годов", а также договором № 01-20/132 от 08.11.2022 о предоставлении бюджету муниципального образования "Городской округ "Город Нарьян-Мар" из окружного бюджета</w:t>
      </w:r>
      <w:proofErr w:type="gramEnd"/>
      <w:r>
        <w:rPr>
          <w:rFonts w:ascii="Times New Roman" w:eastAsia="Times New Roman" w:hAnsi="Times New Roman" w:cs="Times New Roman"/>
          <w:color w:val="000000"/>
          <w:sz w:val="26"/>
          <w:szCs w:val="26"/>
        </w:rPr>
        <w:t xml:space="preserve"> бюджетного кредита для погашения долговых обязательств по кредитам, полученным муниципальным образованием от кредитных организаций (с учетом изменений).</w:t>
      </w:r>
    </w:p>
    <w:p w:rsidR="00FA08AC" w:rsidRDefault="005B3949">
      <w:pPr>
        <w:ind w:firstLine="720"/>
        <w:jc w:val="both"/>
        <w:outlineLvl w:val="3"/>
        <w:rPr>
          <w:b/>
          <w:color w:val="000000"/>
          <w:sz w:val="24"/>
        </w:rPr>
      </w:pPr>
      <w:r>
        <w:rPr>
          <w:rFonts w:ascii="Times New Roman" w:eastAsia="Times New Roman" w:hAnsi="Times New Roman" w:cs="Times New Roman"/>
          <w:color w:val="000000"/>
          <w:sz w:val="26"/>
          <w:szCs w:val="26"/>
        </w:rPr>
        <w:t xml:space="preserve">Сведения и аналитическая информация о государственном (муниципальном) долге и предоставленных бюджетных кредитах показаны в разрезе долговых инструментов и отражены в приложении к пояснительной записке (ф. 0503172). </w:t>
      </w:r>
      <w:proofErr w:type="gramStart"/>
      <w:r>
        <w:rPr>
          <w:rFonts w:ascii="Times New Roman" w:eastAsia="Times New Roman" w:hAnsi="Times New Roman" w:cs="Times New Roman"/>
          <w:color w:val="000000"/>
          <w:sz w:val="26"/>
          <w:szCs w:val="26"/>
        </w:rPr>
        <w:t xml:space="preserve">Учет муниципальных долговых обязательств города Нарьян-Мара, в том числе с группировкой по видам заимствований и срокам их погашения, ведется в </w:t>
      </w:r>
      <w:r>
        <w:rPr>
          <w:rFonts w:ascii="Times New Roman" w:eastAsia="Times New Roman" w:hAnsi="Times New Roman" w:cs="Times New Roman"/>
          <w:color w:val="000000"/>
          <w:sz w:val="26"/>
          <w:szCs w:val="26"/>
        </w:rPr>
        <w:lastRenderedPageBreak/>
        <w:t>муниципальной долговой книге муниципального образования "Городской округ "Город Нарьян-Мар" в соответствии с Постановлением Администрации МО "Городской округ "Город Нарьян-Мар" от 23.05.2016 № 597 "Об утверждении Порядка ведения муниципальной долговой книги муниципального образования "Городской округ "Город Нарьян-Мар".</w:t>
      </w:r>
      <w:proofErr w:type="gramEnd"/>
    </w:p>
    <w:p w:rsidR="00FA08AC" w:rsidRDefault="005B3949">
      <w:pPr>
        <w:shd w:val="clear" w:color="auto" w:fill="FFFFFF"/>
        <w:ind w:firstLine="720"/>
        <w:jc w:val="both"/>
        <w:rPr>
          <w:color w:val="000000"/>
          <w:shd w:val="clear" w:color="auto" w:fill="FFFFFF"/>
        </w:rPr>
      </w:pPr>
      <w:proofErr w:type="gramStart"/>
      <w:r>
        <w:rPr>
          <w:rFonts w:ascii="Times New Roman" w:eastAsia="Times New Roman" w:hAnsi="Times New Roman" w:cs="Times New Roman"/>
          <w:color w:val="000000"/>
          <w:sz w:val="26"/>
          <w:szCs w:val="26"/>
        </w:rPr>
        <w:t>На 01.01.2025 года объем долговых обязательств муниципального образования "Городской округ "Город Нарьян-Мар" составлял 65 000 000,0</w:t>
      </w:r>
      <w:r w:rsidR="00F96841">
        <w:rPr>
          <w:rFonts w:ascii="Times New Roman" w:eastAsia="Times New Roman" w:hAnsi="Times New Roman" w:cs="Times New Roman"/>
          <w:color w:val="000000"/>
          <w:sz w:val="26"/>
          <w:szCs w:val="26"/>
        </w:rPr>
        <w:t xml:space="preserve">0 руб. (договор                 </w:t>
      </w:r>
      <w:r>
        <w:rPr>
          <w:rFonts w:ascii="Times New Roman" w:eastAsia="Times New Roman" w:hAnsi="Times New Roman" w:cs="Times New Roman"/>
          <w:color w:val="000000"/>
          <w:sz w:val="26"/>
          <w:szCs w:val="26"/>
        </w:rPr>
        <w:t>№ 01-20/132 от 08.11.2022 между Администрацией муниципального образования "Городской округ "Город Нарьян-Мар" и Администрацией Ненецкого автономного округа о предоставлении бюджету муниципального образования "Городской округ "Город Нарьян-Мар" из окружного бюджета бюджетного кредита для погашения долговых обязательств по кредитам, полученным муниципальным образованием от кредитных</w:t>
      </w:r>
      <w:proofErr w:type="gramEnd"/>
      <w:r>
        <w:rPr>
          <w:rFonts w:ascii="Times New Roman" w:eastAsia="Times New Roman" w:hAnsi="Times New Roman" w:cs="Times New Roman"/>
          <w:color w:val="000000"/>
          <w:sz w:val="26"/>
          <w:szCs w:val="26"/>
        </w:rPr>
        <w:t xml:space="preserve"> организаций (с учетом изменений)). </w:t>
      </w:r>
      <w:proofErr w:type="gramStart"/>
      <w:r>
        <w:rPr>
          <w:rFonts w:ascii="Times New Roman" w:eastAsia="Times New Roman" w:hAnsi="Times New Roman" w:cs="Times New Roman"/>
          <w:color w:val="000000"/>
          <w:sz w:val="26"/>
          <w:szCs w:val="26"/>
        </w:rPr>
        <w:t>Согласно дополнительному соглашению от 24.10.2025 к данному договору утвержден график погашения задолженности по бюджетному кредиту, уплаты процентов за пользование бюджетным кредитом (сроки возврата кредита:</w:t>
      </w:r>
      <w:proofErr w:type="gramEnd"/>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28.11.2025 в размере 216 700,00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30.11.2026 в размере 216 700,00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30.11.2027 в размере 216 600,00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30.11.2028 в размере 21 450 000,00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30.11.2029 в размере 21 450 000,00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29.11.2030 в размере 21 450 000,00 руб.</w:t>
      </w:r>
    </w:p>
    <w:p w:rsidR="00FA08AC" w:rsidRDefault="005B3949">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 xml:space="preserve">За пользование бюджетным кредитом взимаются проценты в размере 0,1 процента </w:t>
      </w:r>
      <w:proofErr w:type="gramStart"/>
      <w:r>
        <w:rPr>
          <w:rFonts w:ascii="Times New Roman" w:eastAsia="Times New Roman" w:hAnsi="Times New Roman" w:cs="Times New Roman"/>
          <w:color w:val="000000"/>
          <w:sz w:val="26"/>
          <w:szCs w:val="26"/>
        </w:rPr>
        <w:t>годовых</w:t>
      </w:r>
      <w:proofErr w:type="gramEnd"/>
      <w:r>
        <w:rPr>
          <w:rFonts w:ascii="Times New Roman" w:eastAsia="Times New Roman" w:hAnsi="Times New Roman" w:cs="Times New Roman"/>
          <w:color w:val="000000"/>
          <w:sz w:val="26"/>
          <w:szCs w:val="26"/>
        </w:rPr>
        <w:t>. В 2025 году кредит был частично погашен согласно графику погашения задолженности в размере 216 700,00 руб. Таким образом, по состоянию на 31.12.2025 объем долговых обязательств муниципального образования "Городской округ "Город Нарьян-Мар" составляет 64 783 300,00 руб.</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Сведения о неисполненных бюджетных обязательствах отражены в форме 0503175 "Сведения о принятых и неисполненных обязательствах получателя бюджетных средств". </w:t>
      </w:r>
    </w:p>
    <w:p w:rsidR="00FA08AC" w:rsidRDefault="005B3949">
      <w:pPr>
        <w:ind w:firstLine="700"/>
        <w:rPr>
          <w:color w:val="000000"/>
        </w:rPr>
      </w:pPr>
      <w:r>
        <w:rPr>
          <w:rFonts w:ascii="Times New Roman" w:eastAsia="Times New Roman" w:hAnsi="Times New Roman" w:cs="Times New Roman"/>
          <w:color w:val="000000"/>
          <w:sz w:val="26"/>
          <w:szCs w:val="26"/>
        </w:rPr>
        <w:t> </w:t>
      </w:r>
    </w:p>
    <w:p w:rsidR="00FA08AC" w:rsidRDefault="005B3949">
      <w:pPr>
        <w:spacing w:line="288" w:lineRule="auto"/>
        <w:ind w:firstLine="540"/>
        <w:jc w:val="center"/>
        <w:rPr>
          <w:color w:val="000000"/>
        </w:rPr>
      </w:pPr>
      <w:r>
        <w:rPr>
          <w:rFonts w:ascii="Times New Roman" w:eastAsia="Times New Roman" w:hAnsi="Times New Roman" w:cs="Times New Roman"/>
          <w:b/>
          <w:color w:val="000000"/>
          <w:sz w:val="26"/>
          <w:szCs w:val="26"/>
        </w:rPr>
        <w:t>Раздел 5. Прочие вопросы деятельности субъекта бюджетной отчетности</w:t>
      </w:r>
    </w:p>
    <w:p w:rsidR="00FA08AC" w:rsidRDefault="005B3949">
      <w:pPr>
        <w:ind w:firstLine="720"/>
        <w:jc w:val="both"/>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В Управлении финансов Учетная политика для целей бюджетного учета утверждена приказом № 74-О от 29.12.2017. В течение 2025 года были внесены изменения в учетную политику для целей бюджетного учета следующими приказами Управления финансов: от 28.12.2024 № 67, от 07.03.2025 № 4, от 27.10.2025 № 38, от 07.11.2025 № 40, от 30.12.2025 № 57.</w:t>
      </w:r>
    </w:p>
    <w:p w:rsidR="00FA08AC" w:rsidRDefault="005B3949">
      <w:pPr>
        <w:ind w:firstLine="720"/>
        <w:jc w:val="both"/>
        <w:rPr>
          <w:color w:val="000000"/>
        </w:rPr>
      </w:pPr>
      <w:r>
        <w:rPr>
          <w:rFonts w:ascii="Times New Roman" w:eastAsia="Times New Roman" w:hAnsi="Times New Roman" w:cs="Times New Roman"/>
          <w:color w:val="000000"/>
          <w:sz w:val="26"/>
          <w:szCs w:val="26"/>
        </w:rPr>
        <w:t xml:space="preserve">События после отчетной даты, которые подлежат отражению в оборотах 2025 года и отчетности за отчетный год, не происходили. </w:t>
      </w:r>
    </w:p>
    <w:p w:rsidR="00FA08AC" w:rsidRDefault="005B3949">
      <w:pPr>
        <w:ind w:firstLine="720"/>
        <w:jc w:val="both"/>
        <w:rPr>
          <w:color w:val="000000"/>
        </w:rPr>
      </w:pPr>
      <w:r>
        <w:rPr>
          <w:rFonts w:ascii="Times New Roman" w:eastAsia="Times New Roman" w:hAnsi="Times New Roman" w:cs="Times New Roman"/>
          <w:color w:val="000000"/>
          <w:sz w:val="26"/>
          <w:szCs w:val="26"/>
        </w:rPr>
        <w:t>Ошибки прошлых лет в 2025 году не выявлены.</w:t>
      </w:r>
    </w:p>
    <w:p w:rsidR="00FA08AC" w:rsidRDefault="005B3949">
      <w:pPr>
        <w:ind w:firstLine="720"/>
        <w:jc w:val="both"/>
        <w:rPr>
          <w:color w:val="000000"/>
        </w:rPr>
      </w:pPr>
      <w:r>
        <w:rPr>
          <w:rFonts w:ascii="Times New Roman" w:eastAsia="Times New Roman" w:hAnsi="Times New Roman" w:cs="Times New Roman"/>
          <w:color w:val="000000"/>
          <w:sz w:val="26"/>
          <w:szCs w:val="26"/>
        </w:rPr>
        <w:t> </w:t>
      </w:r>
    </w:p>
    <w:p w:rsidR="00FA08AC" w:rsidRDefault="005B3949">
      <w:pPr>
        <w:ind w:firstLine="720"/>
        <w:jc w:val="both"/>
        <w:rPr>
          <w:color w:val="000000"/>
        </w:rPr>
      </w:pPr>
      <w:r>
        <w:rPr>
          <w:rFonts w:ascii="Times New Roman" w:eastAsia="Times New Roman" w:hAnsi="Times New Roman" w:cs="Times New Roman"/>
          <w:color w:val="000000"/>
          <w:sz w:val="26"/>
          <w:szCs w:val="26"/>
        </w:rPr>
        <w:t>Перечень форм отчетности, не имеющих числовых значений:</w:t>
      </w:r>
    </w:p>
    <w:p w:rsidR="00FA08AC" w:rsidRDefault="005B3949">
      <w:pPr>
        <w:ind w:firstLine="720"/>
        <w:jc w:val="both"/>
        <w:rPr>
          <w:color w:val="000000"/>
        </w:rPr>
      </w:pPr>
      <w:r>
        <w:rPr>
          <w:rFonts w:ascii="Times New Roman" w:eastAsia="Times New Roman" w:hAnsi="Times New Roman" w:cs="Times New Roman"/>
          <w:color w:val="000000"/>
          <w:sz w:val="26"/>
          <w:szCs w:val="26"/>
        </w:rPr>
        <w:lastRenderedPageBreak/>
        <w:t>1. Сведения об исполнении мероприятий в рамках федеральных целевых программ (ф. 0503166);</w:t>
      </w:r>
    </w:p>
    <w:p w:rsidR="00FA08AC" w:rsidRDefault="005B3949">
      <w:pPr>
        <w:ind w:firstLine="720"/>
        <w:jc w:val="both"/>
        <w:rPr>
          <w:color w:val="000000"/>
        </w:rPr>
      </w:pPr>
      <w:r>
        <w:rPr>
          <w:rFonts w:ascii="Times New Roman" w:eastAsia="Times New Roman" w:hAnsi="Times New Roman" w:cs="Times New Roman"/>
          <w:color w:val="000000"/>
          <w:sz w:val="26"/>
          <w:szCs w:val="26"/>
        </w:rPr>
        <w:t>2. Сведения о целевых иностранных кредитах (ф. 0503167);</w:t>
      </w:r>
    </w:p>
    <w:p w:rsidR="00FA08AC" w:rsidRDefault="005B3949">
      <w:pPr>
        <w:ind w:firstLine="720"/>
        <w:jc w:val="both"/>
        <w:rPr>
          <w:color w:val="000000"/>
        </w:rPr>
      </w:pPr>
      <w:r>
        <w:rPr>
          <w:rFonts w:ascii="Times New Roman" w:eastAsia="Times New Roman" w:hAnsi="Times New Roman" w:cs="Times New Roman"/>
          <w:color w:val="000000"/>
          <w:sz w:val="26"/>
          <w:szCs w:val="26"/>
        </w:rPr>
        <w:t>3. Сведения о финансовых вложениях получателя бюджетных средств, администратора источников финансирования дефицита бюджета (ф. 0503171);</w:t>
      </w:r>
    </w:p>
    <w:p w:rsidR="00FA08AC" w:rsidRDefault="005B3949">
      <w:pPr>
        <w:ind w:firstLine="720"/>
        <w:jc w:val="both"/>
        <w:rPr>
          <w:color w:val="000000"/>
        </w:rPr>
      </w:pPr>
      <w:r>
        <w:rPr>
          <w:rFonts w:ascii="Times New Roman" w:eastAsia="Times New Roman" w:hAnsi="Times New Roman" w:cs="Times New Roman"/>
          <w:color w:val="000000"/>
          <w:sz w:val="26"/>
          <w:szCs w:val="26"/>
        </w:rPr>
        <w:t>4. Сведения об изменении остатков валюты баланса (ф. 0503173);</w:t>
      </w:r>
    </w:p>
    <w:p w:rsidR="00FA08AC" w:rsidRDefault="005B3949">
      <w:pPr>
        <w:ind w:firstLine="720"/>
        <w:jc w:val="both"/>
        <w:rPr>
          <w:color w:val="000000"/>
        </w:rPr>
      </w:pPr>
      <w:r>
        <w:rPr>
          <w:rFonts w:ascii="Times New Roman" w:eastAsia="Times New Roman" w:hAnsi="Times New Roman" w:cs="Times New Roman"/>
          <w:color w:val="000000"/>
          <w:sz w:val="26"/>
          <w:szCs w:val="26"/>
        </w:rPr>
        <w:t>5.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FA08AC" w:rsidRDefault="005B3949">
      <w:pPr>
        <w:ind w:firstLine="720"/>
        <w:jc w:val="both"/>
        <w:rPr>
          <w:color w:val="000000"/>
        </w:rPr>
      </w:pPr>
      <w:r>
        <w:rPr>
          <w:rFonts w:ascii="Times New Roman" w:eastAsia="Times New Roman" w:hAnsi="Times New Roman" w:cs="Times New Roman"/>
          <w:color w:val="000000"/>
          <w:sz w:val="26"/>
          <w:szCs w:val="26"/>
        </w:rPr>
        <w:t>6. Сведения об остатках денежных средств на счетах получателя бюджетных средств (ф. 0503178);</w:t>
      </w:r>
    </w:p>
    <w:p w:rsidR="00FA08AC" w:rsidRDefault="005B3949">
      <w:pPr>
        <w:ind w:firstLine="720"/>
        <w:jc w:val="both"/>
        <w:rPr>
          <w:color w:val="000000"/>
        </w:rPr>
      </w:pPr>
      <w:r>
        <w:rPr>
          <w:rFonts w:ascii="Times New Roman" w:eastAsia="Times New Roman" w:hAnsi="Times New Roman" w:cs="Times New Roman"/>
          <w:color w:val="000000"/>
          <w:sz w:val="26"/>
          <w:szCs w:val="26"/>
        </w:rPr>
        <w:t>7. Сведения о вложениях в объекты недвижимого имущества, объектах незавершенного строительства (ф. 0503190);</w:t>
      </w:r>
    </w:p>
    <w:p w:rsidR="00FA08AC" w:rsidRDefault="005B3949">
      <w:pPr>
        <w:ind w:firstLine="720"/>
        <w:jc w:val="both"/>
        <w:rPr>
          <w:color w:val="000000"/>
        </w:rPr>
      </w:pPr>
      <w:r>
        <w:rPr>
          <w:rFonts w:ascii="Times New Roman" w:eastAsia="Times New Roman" w:hAnsi="Times New Roman" w:cs="Times New Roman"/>
          <w:color w:val="000000"/>
          <w:sz w:val="26"/>
          <w:szCs w:val="26"/>
        </w:rPr>
        <w:t>8. Сведения об исполнении судебных решений по денежным обязательствам бюджета (ф. 0503296);</w:t>
      </w:r>
    </w:p>
    <w:p w:rsidR="00FA08AC" w:rsidRDefault="005B3949">
      <w:pPr>
        <w:ind w:firstLine="720"/>
        <w:jc w:val="both"/>
        <w:rPr>
          <w:color w:val="000000"/>
        </w:rPr>
      </w:pPr>
      <w:r>
        <w:rPr>
          <w:rFonts w:ascii="Times New Roman" w:eastAsia="Times New Roman" w:hAnsi="Times New Roman" w:cs="Times New Roman"/>
          <w:color w:val="000000"/>
          <w:sz w:val="26"/>
          <w:szCs w:val="26"/>
        </w:rPr>
        <w:t>9. Отчет о бюджетных обязательствах по национальным п</w:t>
      </w:r>
      <w:r w:rsidR="00F96841">
        <w:rPr>
          <w:rFonts w:ascii="Times New Roman" w:eastAsia="Times New Roman" w:hAnsi="Times New Roman" w:cs="Times New Roman"/>
          <w:color w:val="000000"/>
          <w:sz w:val="26"/>
          <w:szCs w:val="26"/>
        </w:rPr>
        <w:t xml:space="preserve">роектам                        </w:t>
      </w:r>
      <w:r>
        <w:rPr>
          <w:rFonts w:ascii="Times New Roman" w:eastAsia="Times New Roman" w:hAnsi="Times New Roman" w:cs="Times New Roman"/>
          <w:color w:val="000000"/>
          <w:sz w:val="26"/>
          <w:szCs w:val="26"/>
        </w:rPr>
        <w:t>(ф. 0503128-НП);</w:t>
      </w:r>
    </w:p>
    <w:p w:rsidR="00FA08AC" w:rsidRDefault="005B3949">
      <w:pPr>
        <w:ind w:firstLine="720"/>
        <w:jc w:val="both"/>
        <w:rPr>
          <w:color w:val="000000"/>
        </w:rPr>
      </w:pPr>
      <w:r>
        <w:rPr>
          <w:rFonts w:ascii="Times New Roman" w:eastAsia="Times New Roman" w:hAnsi="Times New Roman" w:cs="Times New Roman"/>
          <w:color w:val="000000"/>
          <w:sz w:val="26"/>
          <w:szCs w:val="26"/>
        </w:rPr>
        <w:t>10. Анализ показателей отчетности субъекта бюджетно</w:t>
      </w:r>
      <w:r w:rsidR="00F96841">
        <w:rPr>
          <w:rFonts w:ascii="Times New Roman" w:eastAsia="Times New Roman" w:hAnsi="Times New Roman" w:cs="Times New Roman"/>
          <w:color w:val="000000"/>
          <w:sz w:val="26"/>
          <w:szCs w:val="26"/>
        </w:rPr>
        <w:t xml:space="preserve">й отчетности                </w:t>
      </w:r>
      <w:r>
        <w:rPr>
          <w:rFonts w:ascii="Times New Roman" w:eastAsia="Times New Roman" w:hAnsi="Times New Roman" w:cs="Times New Roman"/>
          <w:color w:val="000000"/>
          <w:sz w:val="26"/>
          <w:szCs w:val="26"/>
        </w:rPr>
        <w:t>(Таблица № 14);</w:t>
      </w:r>
    </w:p>
    <w:p w:rsidR="00FA08AC" w:rsidRDefault="005B3949">
      <w:pPr>
        <w:ind w:firstLine="720"/>
        <w:jc w:val="both"/>
        <w:rPr>
          <w:color w:val="000000"/>
        </w:rPr>
      </w:pPr>
      <w:r>
        <w:rPr>
          <w:rFonts w:ascii="Times New Roman" w:eastAsia="Times New Roman" w:hAnsi="Times New Roman" w:cs="Times New Roman"/>
          <w:color w:val="000000"/>
          <w:sz w:val="26"/>
          <w:szCs w:val="26"/>
        </w:rPr>
        <w:t>11. Причины увеличения просроченной задолженности (Таблица № 15).</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96841" w:rsidRDefault="00F96841">
      <w:pPr>
        <w:jc w:val="right"/>
        <w:rPr>
          <w:rFonts w:ascii="Times New Roman" w:eastAsia="Times New Roman" w:hAnsi="Times New Roman" w:cs="Times New Roman"/>
          <w:color w:val="000000"/>
          <w:sz w:val="24"/>
          <w:szCs w:val="24"/>
        </w:rPr>
      </w:pPr>
    </w:p>
    <w:p w:rsidR="00F96841" w:rsidRDefault="00F96841">
      <w:pPr>
        <w:jc w:val="right"/>
        <w:rPr>
          <w:rFonts w:ascii="Times New Roman" w:eastAsia="Times New Roman" w:hAnsi="Times New Roman" w:cs="Times New Roman"/>
          <w:color w:val="000000"/>
          <w:sz w:val="24"/>
          <w:szCs w:val="24"/>
        </w:rPr>
      </w:pPr>
    </w:p>
    <w:p w:rsidR="00F96841" w:rsidRDefault="00F96841">
      <w:pPr>
        <w:jc w:val="right"/>
        <w:rPr>
          <w:rFonts w:ascii="Times New Roman" w:eastAsia="Times New Roman" w:hAnsi="Times New Roman" w:cs="Times New Roman"/>
          <w:color w:val="000000"/>
          <w:sz w:val="24"/>
          <w:szCs w:val="24"/>
        </w:rPr>
      </w:pP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Default="005B3949">
      <w:pPr>
        <w:jc w:val="right"/>
        <w:rPr>
          <w:color w:val="000000"/>
        </w:rPr>
      </w:pPr>
      <w:r>
        <w:rPr>
          <w:rFonts w:ascii="Times New Roman" w:eastAsia="Times New Roman" w:hAnsi="Times New Roman" w:cs="Times New Roman"/>
          <w:color w:val="000000"/>
          <w:sz w:val="24"/>
          <w:szCs w:val="24"/>
        </w:rPr>
        <w:t> </w:t>
      </w:r>
    </w:p>
    <w:p w:rsidR="00FA08AC" w:rsidRPr="00F96841" w:rsidRDefault="005B3949">
      <w:pPr>
        <w:jc w:val="right"/>
        <w:rPr>
          <w:color w:val="000000"/>
          <w:sz w:val="26"/>
          <w:szCs w:val="26"/>
        </w:rPr>
      </w:pPr>
      <w:r w:rsidRPr="00F96841">
        <w:rPr>
          <w:rFonts w:ascii="Times New Roman" w:eastAsia="Times New Roman" w:hAnsi="Times New Roman" w:cs="Times New Roman"/>
          <w:color w:val="000000"/>
          <w:sz w:val="26"/>
          <w:szCs w:val="26"/>
        </w:rPr>
        <w:lastRenderedPageBreak/>
        <w:t>Приложение 1</w:t>
      </w:r>
    </w:p>
    <w:p w:rsidR="00FA08AC" w:rsidRDefault="005B3949">
      <w:pPr>
        <w:rPr>
          <w:color w:val="000000"/>
        </w:rPr>
      </w:pPr>
      <w:r>
        <w:rPr>
          <w:rFonts w:ascii="Times New Roman" w:eastAsia="Times New Roman" w:hAnsi="Times New Roman" w:cs="Times New Roman"/>
          <w:color w:val="000000"/>
          <w:sz w:val="26"/>
          <w:szCs w:val="26"/>
        </w:rPr>
        <w:t> </w:t>
      </w:r>
    </w:p>
    <w:p w:rsidR="00FA08AC" w:rsidRDefault="005B3949">
      <w:pPr>
        <w:rPr>
          <w:color w:val="000000"/>
        </w:rPr>
      </w:pPr>
      <w:r>
        <w:rPr>
          <w:rFonts w:ascii="Times New Roman" w:eastAsia="Times New Roman" w:hAnsi="Times New Roman" w:cs="Times New Roman"/>
          <w:color w:val="000000"/>
          <w:sz w:val="26"/>
          <w:szCs w:val="26"/>
        </w:rPr>
        <w:t> </w:t>
      </w:r>
    </w:p>
    <w:p w:rsidR="00FA08AC" w:rsidRDefault="005B3949">
      <w:pPr>
        <w:jc w:val="center"/>
        <w:rPr>
          <w:color w:val="000000"/>
        </w:rPr>
      </w:pPr>
      <w:r>
        <w:rPr>
          <w:rFonts w:ascii="Times New Roman" w:eastAsia="Times New Roman" w:hAnsi="Times New Roman" w:cs="Times New Roman"/>
          <w:color w:val="000000"/>
          <w:sz w:val="26"/>
          <w:szCs w:val="26"/>
        </w:rPr>
        <w:t>Состав денежных средств и эквивалентов денежных средств</w:t>
      </w:r>
    </w:p>
    <w:p w:rsidR="00FA08AC" w:rsidRDefault="005B3949">
      <w:pPr>
        <w:jc w:val="center"/>
        <w:rPr>
          <w:color w:val="000000"/>
        </w:rPr>
      </w:pPr>
      <w:r>
        <w:rPr>
          <w:rFonts w:ascii="Times New Roman" w:eastAsia="Times New Roman" w:hAnsi="Times New Roman" w:cs="Times New Roman"/>
          <w:color w:val="000000"/>
          <w:sz w:val="26"/>
          <w:szCs w:val="26"/>
        </w:rPr>
        <w:t>в Управлении финансов</w:t>
      </w:r>
    </w:p>
    <w:p w:rsidR="00FA08AC" w:rsidRDefault="005B3949">
      <w:pPr>
        <w:ind w:firstLine="700"/>
        <w:rPr>
          <w:color w:val="000000"/>
        </w:rPr>
      </w:pPr>
      <w:r>
        <w:rPr>
          <w:rFonts w:ascii="Times New Roman" w:eastAsia="Times New Roman" w:hAnsi="Times New Roman" w:cs="Times New Roman"/>
          <w:color w:val="000000"/>
          <w:sz w:val="26"/>
          <w:szCs w:val="26"/>
        </w:rPr>
        <w:t> </w:t>
      </w:r>
    </w:p>
    <w:tbl>
      <w:tblPr>
        <w:tblW w:w="10185" w:type="dxa"/>
        <w:tblBorders>
          <w:top w:val="nil"/>
          <w:left w:val="nil"/>
          <w:bottom w:val="nil"/>
          <w:right w:val="nil"/>
        </w:tblBorders>
        <w:tblCellMar>
          <w:left w:w="0" w:type="dxa"/>
          <w:right w:w="0" w:type="dxa"/>
        </w:tblCellMar>
        <w:tblLook w:val="04A0" w:firstRow="1" w:lastRow="0" w:firstColumn="1" w:lastColumn="0" w:noHBand="0" w:noVBand="1"/>
      </w:tblPr>
      <w:tblGrid>
        <w:gridCol w:w="6920"/>
        <w:gridCol w:w="1103"/>
        <w:gridCol w:w="2162"/>
      </w:tblGrid>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jc w:val="center"/>
              <w:rPr>
                <w:color w:val="000000"/>
              </w:rPr>
            </w:pPr>
            <w:r>
              <w:rPr>
                <w:rFonts w:ascii="Times New Roman" w:eastAsia="Times New Roman" w:hAnsi="Times New Roman" w:cs="Times New Roman"/>
                <w:color w:val="000000"/>
              </w:rPr>
              <w:t>Наименование показателя</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jc w:val="center"/>
              <w:rPr>
                <w:color w:val="000000"/>
              </w:rPr>
            </w:pPr>
            <w:r>
              <w:rPr>
                <w:rFonts w:ascii="Times New Roman" w:eastAsia="Times New Roman" w:hAnsi="Times New Roman" w:cs="Times New Roman"/>
                <w:color w:val="000000"/>
              </w:rPr>
              <w:t>Код по КОСГУ</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Сумма</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b/>
                <w:i/>
                <w:color w:val="000000"/>
              </w:rPr>
              <w:t>Поступления по текущим операциям</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b/>
                <w:i/>
                <w:color w:val="000000"/>
              </w:rPr>
              <w:t>100</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b/>
                <w:i/>
                <w:color w:val="000000"/>
              </w:rPr>
              <w:t>170 680 400,00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Дотации бюджетам городских округов на выравнивание бюджетной обеспеченности из бюджета субъекта Российской Федерации</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151</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170 680 400,00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b/>
                <w:i/>
                <w:color w:val="000000"/>
              </w:rPr>
              <w:t>Выбытия по текущим операциям</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b/>
                <w:i/>
                <w:color w:val="000000"/>
              </w:rPr>
              <w:t>200</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b/>
                <w:i/>
                <w:color w:val="000000"/>
              </w:rPr>
              <w:t>36 771 736,98</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Заработная плата</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211</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26 567 602,28</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Суточные при служебных командировках</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212</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16 800,00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Начисления на выплаты по оплате труда (страховые взносы)</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213</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8 086 660,25</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Компенсация расходов на оплату стоимости проезда и провоза багажа к месту использования отпуска и обратно</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214</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880 120,96</w:t>
            </w:r>
          </w:p>
        </w:tc>
      </w:tr>
      <w:tr w:rsidR="00FA08AC">
        <w:trPr>
          <w:trHeight w:val="364"/>
        </w:trPr>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Услуги подвижной радиотелефонной (сотовой) связи</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221</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4 200,00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Сбор, транспортирование для дальнейшей подготовки к обработке, утилизации, обезвреживанию оборудованию</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225</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13 400,00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i/>
                <w:color w:val="000000"/>
              </w:rPr>
              <w:t>Прочие работы и услуги, в том числе:</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i/>
                <w:color w:val="000000"/>
              </w:rPr>
              <w:t>226</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899 292,19</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Оплата проезда и проживания при служебных командировках</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241 677,70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Диспансеризация муниципальных служащих</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83 140,00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Участие во Всероссийской конференции для бухгалтеров госучреждений, участие в семинаре, повышение квалификации</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204 780,00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Приобретение неисключительного права (простая неисключительная лицензия) ЭС «Госфинансы»</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95 000,00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 xml:space="preserve">Приобретение </w:t>
            </w:r>
            <w:r>
              <w:rPr>
                <w:rFonts w:ascii="Times New Roman" w:eastAsia="Times New Roman" w:hAnsi="Times New Roman" w:cs="Times New Roman"/>
                <w:color w:val="000000"/>
                <w:shd w:val="clear" w:color="auto" w:fill="FFFFFF"/>
              </w:rPr>
              <w:t>прав на использование простых неисключительных лицензий (1С</w:t>
            </w:r>
            <w:proofErr w:type="gramStart"/>
            <w:r>
              <w:rPr>
                <w:rFonts w:ascii="Times New Roman" w:eastAsia="Times New Roman" w:hAnsi="Times New Roman" w:cs="Times New Roman"/>
                <w:color w:val="000000"/>
                <w:shd w:val="clear" w:color="auto" w:fill="FFFFFF"/>
              </w:rPr>
              <w:t>:К</w:t>
            </w:r>
            <w:proofErr w:type="gramEnd"/>
            <w:r>
              <w:rPr>
                <w:rFonts w:ascii="Times New Roman" w:eastAsia="Times New Roman" w:hAnsi="Times New Roman" w:cs="Times New Roman"/>
                <w:color w:val="000000"/>
                <w:shd w:val="clear" w:color="auto" w:fill="FFFFFF"/>
              </w:rPr>
              <w:t>омплект поддержки для государственных учреждений ПРОФ на 12 месяцев)</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49 992,00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 xml:space="preserve">Услуги по сопровождению, установке, тестированию и адаптации </w:t>
            </w:r>
            <w:proofErr w:type="gramStart"/>
            <w:r>
              <w:rPr>
                <w:rFonts w:ascii="Times New Roman" w:eastAsia="Times New Roman" w:hAnsi="Times New Roman" w:cs="Times New Roman"/>
                <w:color w:val="000000"/>
              </w:rPr>
              <w:t>ПО</w:t>
            </w:r>
            <w:proofErr w:type="gramEnd"/>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в</w:t>
            </w:r>
            <w:proofErr w:type="gramEnd"/>
            <w:r>
              <w:rPr>
                <w:rFonts w:ascii="Times New Roman" w:eastAsia="Times New Roman" w:hAnsi="Times New Roman" w:cs="Times New Roman"/>
                <w:color w:val="000000"/>
              </w:rPr>
              <w:t xml:space="preserve"> том числе системы программ 1С и СКЗИ </w:t>
            </w:r>
            <w:proofErr w:type="spellStart"/>
            <w:r>
              <w:rPr>
                <w:rFonts w:ascii="Times New Roman" w:eastAsia="Times New Roman" w:hAnsi="Times New Roman" w:cs="Times New Roman"/>
                <w:color w:val="000000"/>
              </w:rPr>
              <w:t>КриптоПро</w:t>
            </w:r>
            <w:proofErr w:type="spellEnd"/>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173 592,00</w:t>
            </w:r>
          </w:p>
        </w:tc>
      </w:tr>
      <w:tr w:rsidR="00FA08AC">
        <w:trPr>
          <w:trHeight w:val="365"/>
        </w:trPr>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rPr>
                <w:color w:val="000000"/>
              </w:rPr>
            </w:pPr>
            <w:r>
              <w:rPr>
                <w:rFonts w:ascii="Times New Roman" w:eastAsia="Times New Roman" w:hAnsi="Times New Roman" w:cs="Times New Roman"/>
                <w:color w:val="000000"/>
              </w:rPr>
              <w:t>Уничтожение документов</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vAlign w:val="bottom"/>
            <w:hideMark/>
          </w:tcPr>
          <w:p w:rsidR="00FA08AC" w:rsidRDefault="005B3949">
            <w:pPr>
              <w:jc w:val="center"/>
              <w:rPr>
                <w:color w:val="000000"/>
              </w:rPr>
            </w:pPr>
            <w:r>
              <w:rPr>
                <w:rFonts w:ascii="Times New Roman" w:eastAsia="Times New Roman" w:hAnsi="Times New Roman" w:cs="Times New Roman"/>
                <w:i/>
                <w:color w:val="000000"/>
              </w:rPr>
              <w:t>3 310,49</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Подписка на периодические издания</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34 800,00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 xml:space="preserve">Разработка и оформление паспорта опасного отхода I-IV класса опасности </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i/>
                <w:color w:val="000000"/>
              </w:rPr>
              <w:t>13 000,00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Пособие по временной нетрудоспособности за первые три дня за счет работодателя</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266</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123 425,40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Вступительный и ежегодный членский взнос в Союз финансистов России</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297</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60 000,00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Приобретение материальных запасов (бумаги, картриджей, канцелярских товаров и прочее)</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ind w:firstLine="140"/>
              <w:jc w:val="center"/>
              <w:rPr>
                <w:color w:val="000000"/>
              </w:rPr>
            </w:pPr>
            <w:r>
              <w:rPr>
                <w:rFonts w:ascii="Times New Roman" w:eastAsia="Times New Roman" w:hAnsi="Times New Roman" w:cs="Times New Roman"/>
                <w:color w:val="000000"/>
              </w:rPr>
              <w:t>346</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120 235,90</w:t>
            </w:r>
          </w:p>
        </w:tc>
      </w:tr>
      <w:tr w:rsidR="00FA08AC">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b/>
                <w:i/>
                <w:color w:val="000000"/>
              </w:rPr>
              <w:t>Выбытия по инвестиционным операциям</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b/>
                <w:i/>
                <w:color w:val="000000"/>
              </w:rPr>
              <w:t>176 453,00</w:t>
            </w:r>
          </w:p>
        </w:tc>
      </w:tr>
      <w:tr w:rsidR="00FA08AC">
        <w:trPr>
          <w:trHeight w:val="405"/>
        </w:trPr>
        <w:tc>
          <w:tcPr>
            <w:tcW w:w="69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08AC" w:rsidRDefault="005B3949">
            <w:pPr>
              <w:rPr>
                <w:color w:val="000000"/>
              </w:rPr>
            </w:pPr>
            <w:r>
              <w:rPr>
                <w:rFonts w:ascii="Times New Roman" w:eastAsia="Times New Roman" w:hAnsi="Times New Roman" w:cs="Times New Roman"/>
                <w:color w:val="000000"/>
              </w:rPr>
              <w:t>Приобретение основных средств (наушники, шредер, источники бесперебойного питания и прочее)</w:t>
            </w:r>
          </w:p>
        </w:tc>
        <w:tc>
          <w:tcPr>
            <w:tcW w:w="11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A08AC" w:rsidRDefault="005B3949">
            <w:pPr>
              <w:jc w:val="center"/>
              <w:rPr>
                <w:color w:val="000000"/>
              </w:rPr>
            </w:pPr>
            <w:r>
              <w:rPr>
                <w:rFonts w:ascii="Calibri" w:eastAsia="Calibri" w:hAnsi="Calibri" w:cs="Calibri"/>
                <w:color w:val="000000"/>
              </w:rPr>
              <w:t> </w:t>
            </w:r>
          </w:p>
        </w:tc>
        <w:tc>
          <w:tcPr>
            <w:tcW w:w="2159"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jc w:val="center"/>
              <w:rPr>
                <w:color w:val="000000"/>
              </w:rPr>
            </w:pPr>
            <w:r>
              <w:rPr>
                <w:rFonts w:ascii="Times New Roman" w:eastAsia="Times New Roman" w:hAnsi="Times New Roman" w:cs="Times New Roman"/>
                <w:color w:val="000000"/>
              </w:rPr>
              <w:t>176 453,00</w:t>
            </w:r>
          </w:p>
        </w:tc>
      </w:tr>
    </w:tbl>
    <w:p w:rsidR="00FA08AC" w:rsidRDefault="005B3949">
      <w:pPr>
        <w:ind w:firstLine="700"/>
        <w:rPr>
          <w:color w:val="000000"/>
        </w:rPr>
      </w:pPr>
      <w:r>
        <w:rPr>
          <w:rFonts w:ascii="Times New Roman" w:eastAsia="Times New Roman" w:hAnsi="Times New Roman" w:cs="Times New Roman"/>
          <w:color w:val="000000"/>
        </w:rPr>
        <w:t> </w:t>
      </w:r>
    </w:p>
    <w:p w:rsidR="00FA08AC" w:rsidRDefault="005B3949">
      <w:pPr>
        <w:ind w:firstLine="700"/>
        <w:rPr>
          <w:color w:val="000000"/>
        </w:rPr>
      </w:pPr>
      <w:r>
        <w:rPr>
          <w:rFonts w:ascii="Times New Roman" w:eastAsia="Times New Roman" w:hAnsi="Times New Roman" w:cs="Times New Roman"/>
          <w:color w:val="000000"/>
        </w:rPr>
        <w:t> </w:t>
      </w:r>
    </w:p>
    <w:p w:rsidR="00FA08AC" w:rsidRDefault="005B3949">
      <w:pPr>
        <w:ind w:firstLine="700"/>
        <w:rPr>
          <w:color w:val="000000"/>
        </w:rPr>
      </w:pPr>
      <w:r>
        <w:rPr>
          <w:rFonts w:ascii="Calibri" w:eastAsia="Calibri" w:hAnsi="Calibri" w:cs="Calibri"/>
          <w:color w:val="000000"/>
        </w:rPr>
        <w:t> </w:t>
      </w:r>
    </w:p>
    <w:p w:rsidR="00FA08AC" w:rsidRDefault="005B3949">
      <w:pPr>
        <w:ind w:firstLine="700"/>
        <w:rPr>
          <w:color w:val="000000"/>
        </w:rPr>
      </w:pPr>
      <w:r>
        <w:rPr>
          <w:rFonts w:ascii="Calibri" w:eastAsia="Calibri" w:hAnsi="Calibri" w:cs="Calibri"/>
          <w:color w:val="000000"/>
        </w:rPr>
        <w:lastRenderedPageBreak/>
        <w:t> </w:t>
      </w:r>
    </w:p>
    <w:p w:rsidR="00FA08AC" w:rsidRPr="00F96841" w:rsidRDefault="005B3949">
      <w:pPr>
        <w:jc w:val="right"/>
        <w:rPr>
          <w:color w:val="000000"/>
          <w:sz w:val="26"/>
          <w:szCs w:val="26"/>
        </w:rPr>
      </w:pPr>
      <w:r w:rsidRPr="00F96841">
        <w:rPr>
          <w:rFonts w:ascii="Times New Roman" w:eastAsia="Times New Roman" w:hAnsi="Times New Roman" w:cs="Times New Roman"/>
          <w:color w:val="000000"/>
          <w:sz w:val="26"/>
          <w:szCs w:val="26"/>
        </w:rPr>
        <w:t> Приложение 2</w:t>
      </w:r>
    </w:p>
    <w:p w:rsidR="00FA08AC" w:rsidRDefault="005B3949">
      <w:pPr>
        <w:rPr>
          <w:color w:val="000000"/>
        </w:rPr>
      </w:pPr>
      <w:r>
        <w:rPr>
          <w:rFonts w:ascii="Times New Roman" w:eastAsia="Times New Roman" w:hAnsi="Times New Roman" w:cs="Times New Roman"/>
          <w:color w:val="000000"/>
          <w:sz w:val="24"/>
          <w:szCs w:val="24"/>
        </w:rPr>
        <w:t> </w:t>
      </w:r>
    </w:p>
    <w:p w:rsidR="00FA08AC" w:rsidRDefault="005B3949">
      <w:pPr>
        <w:jc w:val="center"/>
        <w:rPr>
          <w:color w:val="000000"/>
        </w:rPr>
      </w:pPr>
      <w:r>
        <w:rPr>
          <w:rFonts w:ascii="Times New Roman" w:eastAsia="Times New Roman" w:hAnsi="Times New Roman" w:cs="Times New Roman"/>
          <w:color w:val="000000"/>
          <w:sz w:val="26"/>
          <w:szCs w:val="26"/>
        </w:rPr>
        <w:t>Сверка суммы денежных потоков от текущих операций,</w:t>
      </w:r>
    </w:p>
    <w:p w:rsidR="00FA08AC" w:rsidRDefault="005B3949">
      <w:pPr>
        <w:jc w:val="center"/>
        <w:rPr>
          <w:color w:val="000000"/>
        </w:rPr>
      </w:pPr>
      <w:proofErr w:type="gramStart"/>
      <w:r>
        <w:rPr>
          <w:rFonts w:ascii="Times New Roman" w:eastAsia="Times New Roman" w:hAnsi="Times New Roman" w:cs="Times New Roman"/>
          <w:color w:val="000000"/>
          <w:sz w:val="26"/>
          <w:szCs w:val="26"/>
        </w:rPr>
        <w:t xml:space="preserve">представленной в Отчете о движении денежных средств (ф.0503123) </w:t>
      </w:r>
      <w:proofErr w:type="gramEnd"/>
    </w:p>
    <w:p w:rsidR="00FA08AC" w:rsidRDefault="005B3949">
      <w:pPr>
        <w:jc w:val="center"/>
        <w:rPr>
          <w:color w:val="000000"/>
        </w:rPr>
      </w:pPr>
      <w:r>
        <w:rPr>
          <w:rFonts w:ascii="Times New Roman" w:eastAsia="Times New Roman" w:hAnsi="Times New Roman" w:cs="Times New Roman"/>
          <w:color w:val="000000"/>
          <w:sz w:val="26"/>
          <w:szCs w:val="26"/>
        </w:rPr>
        <w:t xml:space="preserve">и чистого операционного результата, отраженного </w:t>
      </w:r>
    </w:p>
    <w:p w:rsidR="00FA08AC" w:rsidRDefault="005B3949">
      <w:pPr>
        <w:jc w:val="center"/>
        <w:rPr>
          <w:color w:val="000000"/>
        </w:rPr>
      </w:pPr>
      <w:r>
        <w:rPr>
          <w:rFonts w:ascii="Times New Roman" w:eastAsia="Times New Roman" w:hAnsi="Times New Roman" w:cs="Times New Roman"/>
          <w:color w:val="000000"/>
          <w:sz w:val="26"/>
          <w:szCs w:val="26"/>
        </w:rPr>
        <w:t>в Отчете о финансовых результатах деятельности (ф.0503121)</w:t>
      </w:r>
    </w:p>
    <w:p w:rsidR="00FA08AC" w:rsidRDefault="005B3949">
      <w:pPr>
        <w:ind w:firstLine="700"/>
        <w:rPr>
          <w:color w:val="000000"/>
        </w:rPr>
      </w:pPr>
      <w:r>
        <w:rPr>
          <w:rFonts w:ascii="Calibri" w:eastAsia="Calibri" w:hAnsi="Calibri" w:cs="Calibri"/>
          <w:color w:val="000000"/>
          <w:sz w:val="26"/>
          <w:szCs w:val="26"/>
        </w:rPr>
        <w:t> </w:t>
      </w:r>
    </w:p>
    <w:tbl>
      <w:tblPr>
        <w:tblW w:w="10320" w:type="dxa"/>
        <w:tblBorders>
          <w:top w:val="nil"/>
          <w:left w:val="nil"/>
          <w:bottom w:val="nil"/>
          <w:right w:val="nil"/>
        </w:tblBorders>
        <w:tblCellMar>
          <w:left w:w="0" w:type="dxa"/>
          <w:right w:w="0" w:type="dxa"/>
        </w:tblCellMar>
        <w:tblLook w:val="04A0" w:firstRow="1" w:lastRow="0" w:firstColumn="1" w:lastColumn="0" w:noHBand="0" w:noVBand="1"/>
      </w:tblPr>
      <w:tblGrid>
        <w:gridCol w:w="1015"/>
        <w:gridCol w:w="1597"/>
        <w:gridCol w:w="1599"/>
        <w:gridCol w:w="1287"/>
        <w:gridCol w:w="4822"/>
      </w:tblGrid>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КОСГУ</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 xml:space="preserve">Фактические </w:t>
            </w:r>
            <w:proofErr w:type="gramStart"/>
            <w:r>
              <w:rPr>
                <w:rFonts w:ascii="Times New Roman" w:eastAsia="Times New Roman" w:hAnsi="Times New Roman" w:cs="Times New Roman"/>
                <w:color w:val="000000"/>
              </w:rPr>
              <w:t>расходы</w:t>
            </w:r>
            <w:proofErr w:type="gramEnd"/>
            <w:r>
              <w:rPr>
                <w:rFonts w:ascii="Times New Roman" w:eastAsia="Times New Roman" w:hAnsi="Times New Roman" w:cs="Times New Roman"/>
                <w:color w:val="000000"/>
              </w:rPr>
              <w:t>/ начисленные доходы, руб.</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Кассовые расходы/ поступления, руб.</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Отклонения, руб.</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Причина</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151</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170 680 400,00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170 680 400,00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211</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26 619 368,81</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26 567 602,28</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 </w:t>
            </w:r>
          </w:p>
          <w:p w:rsidR="00FA08AC" w:rsidRDefault="005B3949">
            <w:pPr>
              <w:jc w:val="center"/>
              <w:rPr>
                <w:color w:val="000000"/>
              </w:rPr>
            </w:pPr>
            <w:r>
              <w:rPr>
                <w:rFonts w:ascii="Times New Roman" w:eastAsia="Times New Roman" w:hAnsi="Times New Roman" w:cs="Times New Roman"/>
                <w:color w:val="000000"/>
              </w:rPr>
              <w:t>51 766,53</w:t>
            </w:r>
          </w:p>
          <w:p w:rsidR="00FA08AC" w:rsidRDefault="005B3949">
            <w:pPr>
              <w:jc w:val="center"/>
              <w:rPr>
                <w:color w:val="000000"/>
              </w:rPr>
            </w:pPr>
            <w:r>
              <w:rPr>
                <w:rFonts w:ascii="Times New Roman" w:eastAsia="Times New Roman" w:hAnsi="Times New Roman" w:cs="Times New Roman"/>
                <w:color w:val="000000"/>
              </w:rPr>
              <w:t> </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Расходы будущих периодов по заработной плате (на выплату отпускных за неотработанные дни отпуска), резерв для предстоящей оплаты отпусков за фактически отработанное время по выплатам работникам</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212</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16 800,00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16 800,00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213</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8 102 293,76</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8 086 660,25</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15 633,51</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Расходы будущих периодов на начисление на выплаты по оплате труда (на выплату отпускных за неотработанные дни отпуска), резерв для предстоящей оплаты отпусков за фактически отработанное время по страховым взносам</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214</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880 120,96</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880 120,96</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221</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4 200,00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4 200,00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225</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13 400,00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13 400,00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rPr>
          <w:trHeight w:val="1607"/>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226</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881 409,38</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899 292,19</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-17 882,81</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xml:space="preserve">- Дебиторская задолженность на начало и конец года (авансирование в размере 100% на </w:t>
            </w:r>
            <w:proofErr w:type="gramStart"/>
            <w:r>
              <w:rPr>
                <w:rFonts w:ascii="Times New Roman" w:eastAsia="Times New Roman" w:hAnsi="Times New Roman" w:cs="Times New Roman"/>
                <w:color w:val="000000"/>
              </w:rPr>
              <w:t>подписку</w:t>
            </w:r>
            <w:proofErr w:type="gramEnd"/>
            <w:r>
              <w:rPr>
                <w:rFonts w:ascii="Times New Roman" w:eastAsia="Times New Roman" w:hAnsi="Times New Roman" w:cs="Times New Roman"/>
                <w:color w:val="000000"/>
              </w:rPr>
              <w:t xml:space="preserve"> на периодическую печать); </w:t>
            </w:r>
          </w:p>
          <w:p w:rsidR="00FA08AC" w:rsidRDefault="005B3949">
            <w:pPr>
              <w:rPr>
                <w:color w:val="000000"/>
              </w:rPr>
            </w:pPr>
            <w:r>
              <w:rPr>
                <w:rFonts w:ascii="Times New Roman" w:eastAsia="Times New Roman" w:hAnsi="Times New Roman" w:cs="Times New Roman"/>
                <w:color w:val="000000"/>
              </w:rPr>
              <w:t>- Расходы будущих периодов на прочие работы, услуги (приобретение неисключительных прав на программы для ЭВМ)</w:t>
            </w:r>
          </w:p>
        </w:tc>
      </w:tr>
      <w:tr w:rsidR="00FA08AC">
        <w:trPr>
          <w:trHeight w:val="420"/>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266</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123 425,40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123 425,40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rPr>
          <w:trHeight w:val="794"/>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271</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176 453,00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rPr>
                <w:color w:val="000000"/>
              </w:rPr>
            </w:pPr>
            <w:r>
              <w:rPr>
                <w:rFonts w:ascii="Times New Roman" w:eastAsia="Times New Roman" w:hAnsi="Times New Roman" w:cs="Times New Roman"/>
                <w:color w:val="000000"/>
              </w:rPr>
              <w:t> </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176 453,00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spacing w:before="220"/>
              <w:rPr>
                <w:color w:val="000000"/>
              </w:rPr>
            </w:pPr>
            <w:r>
              <w:rPr>
                <w:rFonts w:ascii="Times New Roman" w:eastAsia="Times New Roman" w:hAnsi="Times New Roman" w:cs="Times New Roman"/>
                <w:color w:val="000000"/>
              </w:rPr>
              <w:t>Передача в эксплуатацию объектов основных средств, стоимостью до 10000 рублей включительно, начисление амортизации</w:t>
            </w:r>
          </w:p>
        </w:tc>
      </w:tr>
      <w:tr w:rsidR="00FA08AC">
        <w:trPr>
          <w:trHeight w:val="697"/>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272</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105 436,95</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rPr>
                <w:color w:val="000000"/>
              </w:rPr>
            </w:pPr>
            <w:r>
              <w:rPr>
                <w:rFonts w:ascii="Times New Roman" w:eastAsia="Times New Roman" w:hAnsi="Times New Roman" w:cs="Times New Roman"/>
                <w:color w:val="000000"/>
              </w:rPr>
              <w:t> </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105 436,95</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Списание материальных запасов</w:t>
            </w:r>
          </w:p>
        </w:tc>
      </w:tr>
      <w:tr w:rsidR="00FA08AC">
        <w:trPr>
          <w:trHeight w:val="507"/>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297</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60 000,00</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60 000,00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0,00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 </w:t>
            </w:r>
          </w:p>
        </w:tc>
      </w:tr>
      <w:tr w:rsidR="00FA08AC">
        <w:trPr>
          <w:trHeight w:val="403"/>
        </w:trPr>
        <w:tc>
          <w:tcPr>
            <w:tcW w:w="1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8AC" w:rsidRDefault="005B3949">
            <w:pPr>
              <w:jc w:val="center"/>
              <w:rPr>
                <w:color w:val="000000"/>
              </w:rPr>
            </w:pPr>
            <w:r>
              <w:rPr>
                <w:rFonts w:ascii="Times New Roman" w:eastAsia="Times New Roman" w:hAnsi="Times New Roman" w:cs="Times New Roman"/>
                <w:color w:val="000000"/>
              </w:rPr>
              <w:t>346</w:t>
            </w:r>
          </w:p>
        </w:tc>
        <w:tc>
          <w:tcPr>
            <w:tcW w:w="1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A08AC" w:rsidRDefault="005B3949">
            <w:pPr>
              <w:jc w:val="center"/>
              <w:rPr>
                <w:color w:val="000000"/>
              </w:rPr>
            </w:pPr>
            <w:r>
              <w:rPr>
                <w:rFonts w:ascii="Times New Roman" w:eastAsia="Times New Roman" w:hAnsi="Times New Roman" w:cs="Times New Roman"/>
                <w:color w:val="000000"/>
              </w:rPr>
              <w:t> </w:t>
            </w:r>
          </w:p>
        </w:tc>
        <w:tc>
          <w:tcPr>
            <w:tcW w:w="1599"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120 235,90</w:t>
            </w:r>
          </w:p>
        </w:tc>
        <w:tc>
          <w:tcPr>
            <w:tcW w:w="1287" w:type="dxa"/>
            <w:tcBorders>
              <w:top w:val="single" w:sz="8" w:space="0" w:color="000000"/>
              <w:left w:val="single" w:sz="8" w:space="0" w:color="000000"/>
              <w:bottom w:val="single" w:sz="8" w:space="0" w:color="000000"/>
              <w:right w:val="single" w:sz="8" w:space="0" w:color="000000"/>
            </w:tcBorders>
            <w:tcMar>
              <w:top w:w="0" w:type="dxa"/>
              <w:bottom w:w="0" w:type="dxa"/>
            </w:tcMar>
            <w:vAlign w:val="center"/>
            <w:hideMark/>
          </w:tcPr>
          <w:p w:rsidR="00FA08AC" w:rsidRDefault="005B3949">
            <w:pPr>
              <w:jc w:val="center"/>
              <w:rPr>
                <w:color w:val="000000"/>
              </w:rPr>
            </w:pPr>
            <w:r>
              <w:rPr>
                <w:rFonts w:ascii="Times New Roman" w:eastAsia="Times New Roman" w:hAnsi="Times New Roman" w:cs="Times New Roman"/>
                <w:color w:val="000000"/>
              </w:rPr>
              <w:t>-120 235,90</w:t>
            </w:r>
          </w:p>
        </w:tc>
        <w:tc>
          <w:tcPr>
            <w:tcW w:w="4822" w:type="dxa"/>
            <w:tcBorders>
              <w:top w:val="single" w:sz="8" w:space="0" w:color="000000"/>
              <w:left w:val="single" w:sz="8" w:space="0" w:color="000000"/>
              <w:bottom w:val="single" w:sz="8" w:space="0" w:color="000000"/>
              <w:right w:val="single" w:sz="8" w:space="0" w:color="000000"/>
            </w:tcBorders>
            <w:tcMar>
              <w:top w:w="0" w:type="dxa"/>
              <w:bottom w:w="0" w:type="dxa"/>
            </w:tcMar>
            <w:hideMark/>
          </w:tcPr>
          <w:p w:rsidR="00FA08AC" w:rsidRDefault="005B3949">
            <w:pPr>
              <w:rPr>
                <w:color w:val="000000"/>
              </w:rPr>
            </w:pPr>
            <w:r>
              <w:rPr>
                <w:rFonts w:ascii="Times New Roman" w:eastAsia="Times New Roman" w:hAnsi="Times New Roman" w:cs="Times New Roman"/>
                <w:color w:val="000000"/>
              </w:rPr>
              <w:t>Приобретение материальных запасов</w:t>
            </w:r>
          </w:p>
        </w:tc>
      </w:tr>
    </w:tbl>
    <w:p w:rsidR="00FA08AC" w:rsidRDefault="005B3949">
      <w:pPr>
        <w:rPr>
          <w:color w:val="000000"/>
        </w:rPr>
      </w:pPr>
      <w:r>
        <w:rPr>
          <w:rFonts w:ascii="Calibri" w:eastAsia="Calibri" w:hAnsi="Calibri" w:cs="Calibri"/>
          <w:color w:val="000000"/>
        </w:rPr>
        <w:t> </w:t>
      </w:r>
    </w:p>
    <w:p w:rsidR="00FA08AC" w:rsidRDefault="005B3949">
      <w:pPr>
        <w:rPr>
          <w:color w:val="000000"/>
        </w:rPr>
      </w:pPr>
      <w:r>
        <w:rPr>
          <w:rFonts w:ascii="Calibri" w:eastAsia="Calibri" w:hAnsi="Calibri" w:cs="Calibri"/>
          <w:color w:val="000000"/>
        </w:rPr>
        <w:t> </w:t>
      </w:r>
    </w:p>
    <w:p w:rsidR="00FA08AC" w:rsidRDefault="005B3949">
      <w:r>
        <w:t> </w:t>
      </w:r>
    </w:p>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2040"/>
        <w:gridCol w:w="3770"/>
      </w:tblGrid>
      <w:tr w:rsidR="00FA08AC">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lastRenderedPageBreak/>
              <w:t>Руководитель</w:t>
            </w:r>
          </w:p>
        </w:tc>
        <w:tc>
          <w:tcPr>
            <w:tcW w:w="2040" w:type="dxa"/>
            <w:tcMar>
              <w:top w:w="0" w:type="dxa"/>
              <w:left w:w="108" w:type="dxa"/>
              <w:bottom w:w="0" w:type="dxa"/>
              <w:right w:w="108" w:type="dxa"/>
            </w:tcMar>
            <w:vAlign w:val="center"/>
            <w:hideMark/>
          </w:tcPr>
          <w:p w:rsidR="00FA08AC" w:rsidRDefault="00FA08AC">
            <w:pPr>
              <w:rPr>
                <w:rFonts w:ascii="Times New Roman" w:eastAsia="Times New Roman" w:hAnsi="Times New Roman" w:cs="Times New Roman"/>
                <w:sz w:val="24"/>
              </w:rPr>
            </w:pPr>
            <w:bookmarkStart w:id="21" w:name="_GoBack"/>
            <w:bookmarkEnd w:id="21"/>
          </w:p>
        </w:tc>
        <w:tc>
          <w:tcPr>
            <w:tcW w:w="0" w:type="auto"/>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Захарова Марина Анатольевна</w:t>
            </w:r>
          </w:p>
        </w:tc>
      </w:tr>
      <w:tr w:rsidR="00FA08AC">
        <w:trPr>
          <w:trHeight w:val="280"/>
        </w:trPr>
        <w:tc>
          <w:tcPr>
            <w:tcW w:w="3570" w:type="dxa"/>
            <w:noWrap/>
            <w:tcMar>
              <w:top w:w="0" w:type="dxa"/>
              <w:left w:w="108" w:type="dxa"/>
              <w:bottom w:w="0" w:type="dxa"/>
              <w:right w:w="108" w:type="dxa"/>
            </w:tcMar>
            <w:vAlign w:val="bottom"/>
            <w:hideMark/>
          </w:tcPr>
          <w:p w:rsidR="00FA08AC" w:rsidRDefault="00FA08AC">
            <w:pPr>
              <w:rPr>
                <w:sz w:val="24"/>
              </w:rPr>
            </w:pPr>
          </w:p>
        </w:tc>
        <w:tc>
          <w:tcPr>
            <w:tcW w:w="2040" w:type="dxa"/>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FA08AC">
        <w:trPr>
          <w:trHeight w:val="281"/>
        </w:trPr>
        <w:tc>
          <w:tcPr>
            <w:tcW w:w="0" w:type="auto"/>
            <w:gridSpan w:val="3"/>
            <w:noWrap/>
            <w:tcMar>
              <w:top w:w="0" w:type="dxa"/>
              <w:left w:w="108" w:type="dxa"/>
              <w:bottom w:w="0" w:type="dxa"/>
              <w:right w:w="108" w:type="dxa"/>
            </w:tcMar>
            <w:vAlign w:val="bottom"/>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FA08AC">
        <w:trPr>
          <w:trHeight w:val="281"/>
        </w:trPr>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FA08AC" w:rsidRDefault="00FA08AC">
            <w:pPr>
              <w:rPr>
                <w:sz w:val="24"/>
              </w:rPr>
            </w:pPr>
          </w:p>
        </w:tc>
        <w:tc>
          <w:tcPr>
            <w:tcW w:w="0" w:type="auto"/>
            <w:tcMar>
              <w:top w:w="0" w:type="dxa"/>
              <w:left w:w="108" w:type="dxa"/>
              <w:bottom w:w="0" w:type="dxa"/>
              <w:right w:w="108" w:type="dxa"/>
            </w:tcMar>
            <w:vAlign w:val="center"/>
            <w:hideMark/>
          </w:tcPr>
          <w:p w:rsidR="00FA08AC" w:rsidRDefault="00FA08AC">
            <w:pPr>
              <w:rPr>
                <w:sz w:val="24"/>
              </w:rPr>
            </w:pPr>
          </w:p>
        </w:tc>
      </w:tr>
      <w:tr w:rsidR="00FA08AC">
        <w:trPr>
          <w:trHeight w:val="281"/>
        </w:trPr>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FA08AC">
        <w:trPr>
          <w:trHeight w:val="281"/>
        </w:trPr>
        <w:tc>
          <w:tcPr>
            <w:tcW w:w="0" w:type="auto"/>
            <w:gridSpan w:val="3"/>
            <w:noWrap/>
            <w:tcMar>
              <w:top w:w="0" w:type="dxa"/>
              <w:left w:w="108" w:type="dxa"/>
              <w:bottom w:w="0" w:type="dxa"/>
              <w:right w:w="108" w:type="dxa"/>
            </w:tcMar>
            <w:vAlign w:val="bottom"/>
            <w:hideMark/>
          </w:tcPr>
          <w:p w:rsidR="00FA08AC" w:rsidRDefault="00FA08AC">
            <w:pPr>
              <w:rPr>
                <w:sz w:val="24"/>
              </w:rPr>
            </w:pPr>
          </w:p>
        </w:tc>
      </w:tr>
      <w:tr w:rsidR="00FA08AC">
        <w:trPr>
          <w:trHeight w:val="281"/>
        </w:trPr>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FA08AC" w:rsidRDefault="00FA08AC">
            <w:pPr>
              <w:rPr>
                <w:rFonts w:ascii="Times New Roman" w:eastAsia="Times New Roman" w:hAnsi="Times New Roman" w:cs="Times New Roman"/>
                <w:sz w:val="24"/>
              </w:rPr>
            </w:pPr>
          </w:p>
        </w:tc>
        <w:tc>
          <w:tcPr>
            <w:tcW w:w="0" w:type="auto"/>
            <w:noWrap/>
            <w:tcMar>
              <w:top w:w="0" w:type="dxa"/>
              <w:left w:w="108" w:type="dxa"/>
              <w:bottom w:w="0" w:type="dxa"/>
              <w:right w:w="108" w:type="dxa"/>
            </w:tcMar>
            <w:vAlign w:val="bottom"/>
            <w:hideMark/>
          </w:tcPr>
          <w:p w:rsidR="00FA08AC" w:rsidRDefault="005B3949">
            <w:pPr>
              <w:jc w:val="center"/>
              <w:rPr>
                <w:rFonts w:ascii="Times New Roman" w:eastAsia="Times New Roman" w:hAnsi="Times New Roman" w:cs="Times New Roman"/>
                <w:sz w:val="24"/>
              </w:rPr>
            </w:pPr>
            <w:proofErr w:type="spellStart"/>
            <w:r>
              <w:rPr>
                <w:rFonts w:ascii="Times New Roman" w:eastAsia="Times New Roman" w:hAnsi="Times New Roman" w:cs="Times New Roman"/>
                <w:sz w:val="20"/>
                <w:szCs w:val="20"/>
                <w:u w:val="single"/>
              </w:rPr>
              <w:t>Шподарук</w:t>
            </w:r>
            <w:proofErr w:type="spellEnd"/>
            <w:r>
              <w:rPr>
                <w:rFonts w:ascii="Times New Roman" w:eastAsia="Times New Roman" w:hAnsi="Times New Roman" w:cs="Times New Roman"/>
                <w:sz w:val="20"/>
                <w:szCs w:val="20"/>
                <w:u w:val="single"/>
              </w:rPr>
              <w:t xml:space="preserve"> Наталья Владимировна</w:t>
            </w:r>
          </w:p>
        </w:tc>
      </w:tr>
      <w:tr w:rsidR="00FA08AC">
        <w:trPr>
          <w:trHeight w:val="281"/>
        </w:trPr>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FA08AC" w:rsidRDefault="005B3949">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FA08AC">
        <w:trPr>
          <w:trHeight w:val="449"/>
        </w:trPr>
        <w:tc>
          <w:tcPr>
            <w:tcW w:w="3570" w:type="dxa"/>
            <w:tcMar>
              <w:top w:w="0" w:type="dxa"/>
              <w:left w:w="108" w:type="dxa"/>
              <w:bottom w:w="0" w:type="dxa"/>
              <w:right w:w="108" w:type="dxa"/>
            </w:tcMar>
            <w:vAlign w:val="center"/>
            <w:hideMark/>
          </w:tcPr>
          <w:p w:rsidR="00FA08AC" w:rsidRDefault="005B3949">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FA08AC" w:rsidRDefault="00FA08AC">
            <w:pPr>
              <w:rPr>
                <w:sz w:val="24"/>
              </w:rPr>
            </w:pPr>
          </w:p>
        </w:tc>
        <w:tc>
          <w:tcPr>
            <w:tcW w:w="0" w:type="auto"/>
            <w:tcMar>
              <w:top w:w="0" w:type="dxa"/>
              <w:left w:w="108" w:type="dxa"/>
              <w:bottom w:w="0" w:type="dxa"/>
              <w:right w:w="108" w:type="dxa"/>
            </w:tcMar>
            <w:vAlign w:val="center"/>
            <w:hideMark/>
          </w:tcPr>
          <w:p w:rsidR="00FA08AC" w:rsidRDefault="00FA08AC">
            <w:pPr>
              <w:rPr>
                <w:sz w:val="24"/>
              </w:rPr>
            </w:pPr>
          </w:p>
        </w:tc>
      </w:tr>
    </w:tbl>
    <w:p w:rsidR="00FA08AC" w:rsidRDefault="005B3949">
      <w:r>
        <w:rPr>
          <w:rFonts w:ascii="Times New Roman" w:eastAsia="Times New Roman" w:hAnsi="Times New Roman" w:cs="Times New Roman"/>
          <w:sz w:val="24"/>
          <w:szCs w:val="24"/>
        </w:rPr>
        <w:t>Документ подписан электронной подписью. Дата представления 27.01.2026</w:t>
      </w:r>
      <w:r>
        <w:rPr>
          <w:rFonts w:ascii="Times New Roman" w:eastAsia="Times New Roman" w:hAnsi="Times New Roman" w:cs="Times New Roman"/>
          <w:sz w:val="24"/>
          <w:szCs w:val="24"/>
        </w:rPr>
        <w:br/>
        <w:t>Руководител</w:t>
      </w:r>
      <w:proofErr w:type="gramStart"/>
      <w:r>
        <w:rPr>
          <w:rFonts w:ascii="Times New Roman" w:eastAsia="Times New Roman" w:hAnsi="Times New Roman" w:cs="Times New Roman"/>
          <w:sz w:val="24"/>
          <w:szCs w:val="24"/>
        </w:rPr>
        <w:t>ь(</w:t>
      </w:r>
      <w:proofErr w:type="gramEnd"/>
      <w:r>
        <w:rPr>
          <w:rFonts w:ascii="Times New Roman" w:eastAsia="Times New Roman" w:hAnsi="Times New Roman" w:cs="Times New Roman"/>
          <w:sz w:val="24"/>
          <w:szCs w:val="24"/>
        </w:rPr>
        <w:t>Захарова Марина Анатольевна, Сертификат: 00F6A0CEFE49D2AC2447CEE4C6FD13CBA2, Действителен: с 19.08.2025 по 12.11.2026), Главный бухгалтер(</w:t>
      </w:r>
      <w:proofErr w:type="spellStart"/>
      <w:r>
        <w:rPr>
          <w:rFonts w:ascii="Times New Roman" w:eastAsia="Times New Roman" w:hAnsi="Times New Roman" w:cs="Times New Roman"/>
          <w:sz w:val="24"/>
          <w:szCs w:val="24"/>
        </w:rPr>
        <w:t>Шподарук</w:t>
      </w:r>
      <w:proofErr w:type="spellEnd"/>
      <w:r>
        <w:rPr>
          <w:rFonts w:ascii="Times New Roman" w:eastAsia="Times New Roman" w:hAnsi="Times New Roman" w:cs="Times New Roman"/>
          <w:sz w:val="24"/>
          <w:szCs w:val="24"/>
        </w:rPr>
        <w:t xml:space="preserve"> Наталья Владимировна, Сертификат: 570692CDC5D4D9DF385A4B841FB7D8C5, Действителен: с 05.05.2025 по 29.07.2026)        </w:t>
      </w:r>
    </w:p>
    <w:sectPr w:rsidR="00FA08AC" w:rsidSect="00F96841">
      <w:pgSz w:w="12240" w:h="15840"/>
      <w:pgMar w:top="850" w:right="1133" w:bottom="1700" w:left="1133" w:header="708" w:footer="708"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FA08AC"/>
    <w:rsid w:val="005B3949"/>
    <w:rsid w:val="00695E91"/>
    <w:rsid w:val="00F96841"/>
    <w:rsid w:val="00FA0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08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Номер строки1"/>
    <w:basedOn w:val="a0"/>
    <w:semiHidden/>
    <w:rsid w:val="00FA08AC"/>
  </w:style>
  <w:style w:type="character" w:styleId="a3">
    <w:name w:val="Hyperlink"/>
    <w:rsid w:val="00FA08AC"/>
    <w:rPr>
      <w:color w:val="0000FF"/>
      <w:u w:val="single"/>
    </w:rPr>
  </w:style>
  <w:style w:type="table" w:styleId="10">
    <w:name w:val="Table Simple 1"/>
    <w:basedOn w:val="a1"/>
    <w:rsid w:val="00FA08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F96841"/>
    <w:rPr>
      <w:rFonts w:ascii="Tahoma" w:hAnsi="Tahoma" w:cs="Tahoma"/>
      <w:sz w:val="16"/>
      <w:szCs w:val="16"/>
    </w:rPr>
  </w:style>
  <w:style w:type="character" w:customStyle="1" w:styleId="a5">
    <w:name w:val="Текст выноски Знак"/>
    <w:basedOn w:val="a0"/>
    <w:link w:val="a4"/>
    <w:uiPriority w:val="99"/>
    <w:semiHidden/>
    <w:rsid w:val="00F968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F9B8C5C5606A7219B5F0D185AD63B781B97A9AF915E058A32BBC18077D50C38811309E6FF6C12CO6H6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41AB805B5231D8A539889481560432141353C669942FB029DBA897A87DAD2C2C63225B40CFF3D0F5267667722D0CC2C748CCFED89A0t1F2M" TargetMode="External"/><Relationship Id="rId5"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3482</Words>
  <Characters>19854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Куликова Елена Николаевна</dc:creator>
  <cp:lastModifiedBy>Шподарук Наталья Владимировна</cp:lastModifiedBy>
  <cp:revision>3</cp:revision>
  <cp:lastPrinted>2026-02-25T06:51:00Z</cp:lastPrinted>
  <dcterms:created xsi:type="dcterms:W3CDTF">2026-02-25T06:52:00Z</dcterms:created>
  <dcterms:modified xsi:type="dcterms:W3CDTF">2026-07-29T10:54:00Z</dcterms:modified>
</cp:coreProperties>
</file>