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от “____” __________________ № ____________</w:t>
      </w:r>
    </w:p>
    <w:p w:rsidR="00911AE8" w:rsidRPr="00C710F2" w:rsidRDefault="00911AE8" w:rsidP="00911AE8">
      <w:pPr>
        <w:jc w:val="both"/>
      </w:pPr>
      <w:r>
        <w:tab/>
      </w:r>
      <w:r>
        <w:tab/>
        <w:t>г. Нарьян-Мар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604B">
        <w:rPr>
          <w:sz w:val="26"/>
        </w:rPr>
        <w:t>по муниципальному жилищному контролю</w:t>
      </w:r>
      <w:r w:rsidR="00FB74A8" w:rsidRPr="00FB74A8">
        <w:rPr>
          <w:sz w:val="26"/>
        </w:rPr>
        <w:t xml:space="preserve"> </w:t>
      </w:r>
      <w:r>
        <w:rPr>
          <w:sz w:val="26"/>
        </w:rPr>
        <w:t>на 2022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, Администрация муниципального образования "Городской округ "Город Нарьян-Мар"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муниципальному жилищному контролю </w:t>
      </w:r>
      <w:r w:rsidR="00BA6992" w:rsidRPr="00BA6992">
        <w:rPr>
          <w:sz w:val="26"/>
          <w:szCs w:val="26"/>
        </w:rPr>
        <w:t>на 2022 год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>т в силу с</w:t>
      </w:r>
      <w:r w:rsidR="006226E6">
        <w:rPr>
          <w:sz w:val="26"/>
          <w:szCs w:val="26"/>
        </w:rPr>
        <w:t>о дня подписания</w:t>
      </w:r>
      <w:r>
        <w:rPr>
          <w:sz w:val="26"/>
          <w:szCs w:val="26"/>
        </w:rPr>
        <w:t xml:space="preserve"> и подлежит размещению на официальном сайте Администрации муниципального образования "Городской округ "Город Нарьян-Мар".</w:t>
      </w:r>
      <w:r w:rsidR="00FB74A8" w:rsidRPr="00FB74A8">
        <w:rPr>
          <w:sz w:val="26"/>
          <w:szCs w:val="26"/>
        </w:rPr>
        <w:t xml:space="preserve"> 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4682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7422F9" w:rsidRPr="005F1527">
        <w:rPr>
          <w:sz w:val="26"/>
          <w:szCs w:val="26"/>
        </w:rPr>
        <w:t xml:space="preserve"> 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2022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>(далее - Отдел муниципального контроля Администрации города Нарьян-Мара)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</w:t>
            </w:r>
            <w:r w:rsidR="005D219C">
              <w:rPr>
                <w:sz w:val="26"/>
                <w:szCs w:val="26"/>
              </w:rPr>
              <w:lastRenderedPageBreak/>
              <w:t xml:space="preserve">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 w:rsidR="00D81811"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 города Нарьян-Мара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</w:t>
            </w:r>
            <w:r w:rsidR="007F15DE" w:rsidRPr="005F1527">
              <w:rPr>
                <w:sz w:val="26"/>
                <w:szCs w:val="26"/>
              </w:rPr>
              <w:lastRenderedPageBreak/>
              <w:t xml:space="preserve">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BB3C4D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 специалист отдела муниципального контроля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43746">
              <w:rPr>
                <w:sz w:val="26"/>
                <w:szCs w:val="26"/>
              </w:rPr>
              <w:t>ебований</w:t>
            </w:r>
            <w:r w:rsidR="00B43746">
              <w:rPr>
                <w:sz w:val="26"/>
                <w:szCs w:val="26"/>
              </w:rPr>
              <w:br/>
              <w:t>в сфере муниципального жилищного контроля</w:t>
            </w:r>
            <w:r w:rsidR="00A64C85">
              <w:rPr>
                <w:sz w:val="26"/>
                <w:szCs w:val="26"/>
              </w:rPr>
              <w:t>.</w:t>
            </w:r>
            <w:bookmarkStart w:id="1" w:name="_GoBack"/>
            <w:bookmarkEnd w:id="1"/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C54A9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 w:rsidR="00C54A94"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 юрисконсульт,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инспектор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Администрации города Нарьян-Мара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C54A94">
        <w:rPr>
          <w:sz w:val="26"/>
          <w:szCs w:val="26"/>
        </w:rPr>
        <w:t>ельства в сфере муниципального жилищного контроля</w:t>
      </w:r>
      <w:r w:rsidR="00DA0EC0">
        <w:rPr>
          <w:sz w:val="26"/>
          <w:szCs w:val="26"/>
        </w:rPr>
        <w:t>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>арушений по муниципальному жилищному контролю</w:t>
            </w:r>
            <w:r>
              <w:rPr>
                <w:sz w:val="26"/>
                <w:szCs w:val="26"/>
              </w:rPr>
              <w:t xml:space="preserve">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917476">
              <w:rPr>
                <w:sz w:val="26"/>
                <w:szCs w:val="26"/>
              </w:rPr>
              <w:t xml:space="preserve"> муниципального жилищного контроля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546A-C31F-48A4-92A1-F6E7D6B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Честнейшина Татьяна Николаевна</cp:lastModifiedBy>
  <cp:revision>12</cp:revision>
  <cp:lastPrinted>2021-09-16T08:54:00Z</cp:lastPrinted>
  <dcterms:created xsi:type="dcterms:W3CDTF">2021-09-20T10:55:00Z</dcterms:created>
  <dcterms:modified xsi:type="dcterms:W3CDTF">2021-09-21T12:57:00Z</dcterms:modified>
</cp:coreProperties>
</file>