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7F564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F5648">
              <w:t>4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4F1C26">
            <w:pPr>
              <w:ind w:left="-38" w:firstLine="38"/>
              <w:jc w:val="center"/>
            </w:pPr>
            <w:r>
              <w:t>5</w:t>
            </w:r>
            <w:r w:rsidR="004F1C26">
              <w:t>6</w:t>
            </w:r>
            <w:r w:rsidR="007F5648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F5648" w:rsidRPr="006D2181" w:rsidRDefault="007F5648" w:rsidP="007F5648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Pr="00443EF8">
        <w:rPr>
          <w:sz w:val="26"/>
          <w:szCs w:val="26"/>
        </w:rPr>
        <w:t xml:space="preserve"> </w:t>
      </w:r>
      <w:r w:rsidRPr="00435CAB">
        <w:rPr>
          <w:rStyle w:val="bx-messenger-message"/>
          <w:sz w:val="26"/>
          <w:szCs w:val="26"/>
        </w:rPr>
        <w:t xml:space="preserve">Порядок </w:t>
      </w:r>
      <w:r w:rsidRPr="00435CAB">
        <w:rPr>
          <w:sz w:val="26"/>
          <w:szCs w:val="26"/>
        </w:rPr>
        <w:t xml:space="preserve">предоставления выплаты председателям территориальных общественных самоуправлений в </w:t>
      </w:r>
      <w:r>
        <w:rPr>
          <w:rStyle w:val="bx-messenger-message"/>
          <w:sz w:val="26"/>
          <w:szCs w:val="26"/>
        </w:rPr>
        <w:t>муниципальном образовании</w:t>
      </w:r>
      <w:r w:rsidRPr="00435CAB">
        <w:rPr>
          <w:rStyle w:val="bx-messenger-message"/>
          <w:sz w:val="26"/>
          <w:szCs w:val="26"/>
        </w:rPr>
        <w:t xml:space="preserve"> "Городской округ "Город Нарьян-Мар"</w:t>
      </w:r>
    </w:p>
    <w:p w:rsidR="007F5648" w:rsidRDefault="007F5648" w:rsidP="007F564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F5648" w:rsidRDefault="007F5648" w:rsidP="007F564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F5648" w:rsidRDefault="007F5648" w:rsidP="007F564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F5648" w:rsidRPr="006D2181" w:rsidRDefault="007F5648" w:rsidP="007F564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F5648" w:rsidRDefault="007F5648" w:rsidP="007F564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F5648" w:rsidRPr="006D2181" w:rsidRDefault="007F5648" w:rsidP="007F5648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7F5648" w:rsidRDefault="007F5648" w:rsidP="007F5648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48" w:rsidRPr="00A167F7" w:rsidRDefault="007F5648" w:rsidP="007F5648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67F7">
        <w:rPr>
          <w:rFonts w:ascii="Times New Roman" w:hAnsi="Times New Roman"/>
          <w:sz w:val="26"/>
          <w:szCs w:val="26"/>
        </w:rPr>
        <w:t>1.</w:t>
      </w:r>
      <w:r w:rsidRPr="00A167F7">
        <w:rPr>
          <w:rFonts w:ascii="Times New Roman" w:hAnsi="Times New Roman"/>
          <w:sz w:val="26"/>
          <w:szCs w:val="26"/>
        </w:rPr>
        <w:tab/>
        <w:t xml:space="preserve">Внести в Порядок предоставления выплаты председателям территориальных общественных самоуправлений в 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Нарьян-Мар", утвержденный</w:t>
      </w:r>
      <w:r w:rsidRPr="00A167F7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>муниципально</w:t>
      </w:r>
      <w:r>
        <w:rPr>
          <w:rStyle w:val="bx-messenger-message"/>
          <w:rFonts w:ascii="Times New Roman" w:hAnsi="Times New Roman"/>
          <w:sz w:val="26"/>
          <w:szCs w:val="26"/>
        </w:rPr>
        <w:t>го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 xml:space="preserve"> образовани</w:t>
      </w:r>
      <w:r>
        <w:rPr>
          <w:rStyle w:val="bx-messenger-message"/>
          <w:rFonts w:ascii="Times New Roman" w:hAnsi="Times New Roman"/>
          <w:sz w:val="26"/>
          <w:szCs w:val="26"/>
        </w:rPr>
        <w:t>я</w:t>
      </w:r>
      <w:r w:rsidRPr="00A167F7">
        <w:rPr>
          <w:rFonts w:ascii="Times New Roman" w:hAnsi="Times New Roman"/>
          <w:sz w:val="26"/>
          <w:szCs w:val="26"/>
        </w:rPr>
        <w:t xml:space="preserve"> "Городской округ "Город Нарьян-Мар" от 24.12.2018 № 1108 (далее – Порядок), следующие изменения:</w:t>
      </w:r>
    </w:p>
    <w:p w:rsidR="007F5648" w:rsidRDefault="007F5648" w:rsidP="007F56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E3291">
        <w:rPr>
          <w:rFonts w:ascii="Times New Roman" w:hAnsi="Times New Roman"/>
          <w:sz w:val="26"/>
          <w:szCs w:val="26"/>
        </w:rPr>
        <w:t>1.1.</w:t>
      </w:r>
      <w:r w:rsidRPr="00BE32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Пункт 2.10. Порядка изложить в следующей редакции: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"Комиссией принимается решение о выплате председателю ТОС, размер которой определяется с учетом присвоенной категории: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 категория - 40 000,0 (сорок тысяч рублей);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 категория - 30 000,0 (тридцать тысяч рублей);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III категория - 20 000,0 (двадцать тысяч рублей);</w:t>
      </w:r>
    </w:p>
    <w:p w:rsidR="007F5648" w:rsidRPr="009E55F5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IV категория - 10 000 (десять тысяч рублей)</w:t>
      </w:r>
      <w:proofErr w:type="gramStart"/>
      <w:r>
        <w:rPr>
          <w:rFonts w:eastAsiaTheme="minorHAnsi"/>
          <w:sz w:val="26"/>
          <w:szCs w:val="26"/>
          <w:lang w:eastAsia="en-US"/>
        </w:rPr>
        <w:t>."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7F5648" w:rsidRDefault="007F5648" w:rsidP="007F5648">
      <w:pPr>
        <w:pStyle w:val="aff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E3291">
        <w:rPr>
          <w:rFonts w:ascii="Times New Roman" w:hAnsi="Times New Roman"/>
          <w:sz w:val="26"/>
          <w:szCs w:val="26"/>
        </w:rPr>
        <w:t>1.2.</w:t>
      </w:r>
      <w:r w:rsidRPr="00BE32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Абзац четвертый пункта 3.1. Порядка исключить;</w:t>
      </w:r>
    </w:p>
    <w:p w:rsidR="007F5648" w:rsidRDefault="007F5648" w:rsidP="007F564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4.1. Порядка изложить в следующей редакции:</w:t>
      </w:r>
    </w:p>
    <w:p w:rsidR="007F5648" w:rsidRDefault="007F5648" w:rsidP="007F5648">
      <w:pPr>
        <w:pStyle w:val="aff0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435CAB">
        <w:rPr>
          <w:rFonts w:ascii="Times New Roman" w:hAnsi="Times New Roman"/>
          <w:sz w:val="26"/>
          <w:szCs w:val="26"/>
        </w:rPr>
        <w:t xml:space="preserve">Председатель ТОС обязан уведомить Администрацию 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>муниципально</w:t>
      </w:r>
      <w:r>
        <w:rPr>
          <w:rStyle w:val="bx-messenger-message"/>
          <w:rFonts w:ascii="Times New Roman" w:hAnsi="Times New Roman"/>
          <w:sz w:val="26"/>
          <w:szCs w:val="26"/>
        </w:rPr>
        <w:t>го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 xml:space="preserve"> образовани</w:t>
      </w:r>
      <w:r>
        <w:rPr>
          <w:rStyle w:val="bx-messenger-message"/>
          <w:rFonts w:ascii="Times New Roman" w:hAnsi="Times New Roman"/>
          <w:sz w:val="26"/>
          <w:szCs w:val="26"/>
        </w:rPr>
        <w:t>я</w:t>
      </w:r>
      <w:r w:rsidRPr="00435CAB">
        <w:rPr>
          <w:rFonts w:ascii="Times New Roman" w:hAnsi="Times New Roman"/>
          <w:sz w:val="26"/>
          <w:szCs w:val="26"/>
        </w:rPr>
        <w:t xml:space="preserve"> "Городской округ "Город Нарьян-Мар" в течение 3 (трех) рабочих дней о наличии оснований, указанных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5CAB">
        <w:rPr>
          <w:rFonts w:ascii="Times New Roman" w:hAnsi="Times New Roman"/>
          <w:sz w:val="26"/>
          <w:szCs w:val="26"/>
        </w:rPr>
        <w:t xml:space="preserve">в п. </w:t>
      </w:r>
      <w:r>
        <w:rPr>
          <w:rFonts w:ascii="Times New Roman" w:hAnsi="Times New Roman"/>
          <w:sz w:val="26"/>
          <w:szCs w:val="26"/>
        </w:rPr>
        <w:t>3.1</w:t>
      </w:r>
      <w:r w:rsidRPr="00435CAB">
        <w:rPr>
          <w:rFonts w:ascii="Times New Roman" w:hAnsi="Times New Roman"/>
          <w:sz w:val="26"/>
          <w:szCs w:val="26"/>
        </w:rPr>
        <w:t xml:space="preserve"> настоящего Порядка, с даты возникновения оснований для прекращения выплаты</w:t>
      </w:r>
      <w:proofErr w:type="gramStart"/>
      <w:r>
        <w:rPr>
          <w:rFonts w:ascii="Times New Roman" w:hAnsi="Times New Roman"/>
          <w:sz w:val="26"/>
          <w:szCs w:val="26"/>
        </w:rPr>
        <w:t>.".</w:t>
      </w:r>
      <w:proofErr w:type="gramEnd"/>
    </w:p>
    <w:p w:rsidR="007F5648" w:rsidRDefault="007F5648" w:rsidP="007F564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Приложение 3 к Порядку изложить в следующей редакции:</w:t>
      </w:r>
    </w:p>
    <w:p w:rsidR="007F5648" w:rsidRDefault="007F5648" w:rsidP="007F5648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F5648" w:rsidRPr="00B825CB" w:rsidRDefault="007F5648" w:rsidP="007F5648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B825C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7F5648" w:rsidRDefault="007F5648" w:rsidP="007F5648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 Порядк</w:t>
      </w:r>
      <w:r>
        <w:rPr>
          <w:rFonts w:ascii="Times New Roman" w:hAnsi="Times New Roman"/>
          <w:sz w:val="26"/>
          <w:szCs w:val="26"/>
        </w:rPr>
        <w:t xml:space="preserve">у предоставления </w:t>
      </w:r>
      <w:r w:rsidRPr="00B825CB">
        <w:rPr>
          <w:rFonts w:ascii="Times New Roman" w:hAnsi="Times New Roman"/>
          <w:sz w:val="26"/>
          <w:szCs w:val="26"/>
        </w:rPr>
        <w:t xml:space="preserve">выплаты </w:t>
      </w:r>
    </w:p>
    <w:p w:rsidR="007F5648" w:rsidRDefault="007F5648" w:rsidP="007F5648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председателям </w:t>
      </w:r>
      <w:proofErr w:type="gramStart"/>
      <w:r w:rsidRPr="00B825CB">
        <w:rPr>
          <w:rFonts w:ascii="Times New Roman" w:hAnsi="Times New Roman"/>
          <w:sz w:val="26"/>
          <w:szCs w:val="26"/>
        </w:rPr>
        <w:t>территориальных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</w:t>
      </w:r>
    </w:p>
    <w:p w:rsidR="007F5648" w:rsidRDefault="007F5648" w:rsidP="007F5648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общественных самоуправлений </w:t>
      </w:r>
    </w:p>
    <w:p w:rsidR="007F5648" w:rsidRDefault="007F5648" w:rsidP="007F5648">
      <w:pPr>
        <w:pStyle w:val="aff0"/>
        <w:ind w:firstLine="709"/>
        <w:jc w:val="right"/>
        <w:rPr>
          <w:rStyle w:val="bx-messenger-message"/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>муниципальном образовании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 xml:space="preserve"> </w:t>
      </w:r>
    </w:p>
    <w:p w:rsidR="007F5648" w:rsidRPr="00B825CB" w:rsidRDefault="007F5648" w:rsidP="007F5648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Style w:val="bx-messenger-message"/>
          <w:rFonts w:ascii="Times New Roman" w:hAnsi="Times New Roman"/>
          <w:sz w:val="26"/>
          <w:szCs w:val="26"/>
        </w:rPr>
        <w:t>"Городской округ "Город Нарьян-Мар"</w:t>
      </w:r>
    </w:p>
    <w:p w:rsidR="007F5648" w:rsidRDefault="007F5648" w:rsidP="007F5648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F5648" w:rsidRPr="00B825CB" w:rsidRDefault="007F5648" w:rsidP="007F5648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Критерии оценки</w:t>
      </w:r>
    </w:p>
    <w:p w:rsidR="007F5648" w:rsidRPr="00B825CB" w:rsidRDefault="007F5648" w:rsidP="007F5648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деятельности председателя</w:t>
      </w:r>
    </w:p>
    <w:p w:rsidR="007F5648" w:rsidRPr="00B825CB" w:rsidRDefault="007F5648" w:rsidP="007F5648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7F5648" w:rsidRPr="00B825CB" w:rsidRDefault="007F5648" w:rsidP="007F56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67" w:type="dxa"/>
        <w:tblCellSpacing w:w="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3529"/>
        <w:gridCol w:w="3564"/>
        <w:gridCol w:w="2045"/>
      </w:tblGrid>
      <w:tr w:rsidR="007F5648" w:rsidRPr="004A6395" w:rsidTr="006341C4">
        <w:trPr>
          <w:tblCellSpacing w:w="15" w:type="dxa"/>
        </w:trPr>
        <w:tc>
          <w:tcPr>
            <w:tcW w:w="684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639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z w:val="26"/>
                <w:szCs w:val="26"/>
              </w:rPr>
              <w:t>, за квартал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Оценка значения показателя (баллы)</w:t>
            </w:r>
          </w:p>
        </w:tc>
      </w:tr>
      <w:tr w:rsidR="007F5648" w:rsidRPr="004A6395" w:rsidTr="006341C4">
        <w:trPr>
          <w:tblCellSpacing w:w="15" w:type="dxa"/>
        </w:trPr>
        <w:tc>
          <w:tcPr>
            <w:tcW w:w="684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деятельности органов местного самоуправления по текущим и перспективным вопросам социально-экономического развития </w:t>
            </w:r>
            <w:r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муниципально</w:t>
            </w:r>
            <w:r>
              <w:rPr>
                <w:rStyle w:val="bx-messenger-message"/>
                <w:rFonts w:ascii="Times New Roman" w:hAnsi="Times New Roman"/>
                <w:sz w:val="26"/>
                <w:szCs w:val="26"/>
              </w:rPr>
              <w:t>го</w:t>
            </w:r>
            <w:r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>
              <w:rPr>
                <w:rStyle w:val="bx-messenger-message"/>
                <w:rFonts w:ascii="Times New Roman" w:hAnsi="Times New Roman"/>
                <w:sz w:val="26"/>
                <w:szCs w:val="26"/>
              </w:rPr>
              <w:t>я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"Городской округ "Город Нарьян-Мар";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путем организации встреч и/или использования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информационных ресурсов сети Интернет 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>до 5 - 3 балла;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более 5 - 5 баллов</w:t>
            </w:r>
          </w:p>
        </w:tc>
      </w:tr>
      <w:tr w:rsidR="007F5648" w:rsidRPr="004A6395" w:rsidTr="006341C4">
        <w:trPr>
          <w:tblCellSpacing w:w="15" w:type="dxa"/>
        </w:trPr>
        <w:tc>
          <w:tcPr>
            <w:tcW w:w="684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Проведение собраний членов ТОС по </w:t>
            </w:r>
            <w:r w:rsidRPr="006E471A">
              <w:rPr>
                <w:rFonts w:ascii="Times New Roman" w:hAnsi="Times New Roman"/>
                <w:sz w:val="26"/>
                <w:szCs w:val="26"/>
              </w:rPr>
              <w:t>вопросам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деятельности ТОС, проведение заседаний Совета (Комитета) ТОС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собраний членов ТОС,  заседаний Совета (Комитета) ТОС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CA5A84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CA5A84">
              <w:rPr>
                <w:rFonts w:ascii="Times New Roman" w:hAnsi="Times New Roman"/>
                <w:sz w:val="26"/>
                <w:szCs w:val="26"/>
              </w:rPr>
              <w:t>1 раз в квартал – 3 балла;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CA5A84">
              <w:rPr>
                <w:rFonts w:ascii="Times New Roman" w:hAnsi="Times New Roman"/>
                <w:sz w:val="26"/>
                <w:szCs w:val="26"/>
              </w:rPr>
              <w:t xml:space="preserve">более 1 раза – 5 баллов </w:t>
            </w:r>
          </w:p>
        </w:tc>
      </w:tr>
      <w:tr w:rsidR="007F5648" w:rsidRPr="004A6395" w:rsidTr="006341C4">
        <w:trPr>
          <w:tblCellSpacing w:w="15" w:type="dxa"/>
        </w:trPr>
        <w:tc>
          <w:tcPr>
            <w:tcW w:w="684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работ по санитарной очистке, благоустройству </w:t>
            </w:r>
            <w:r>
              <w:rPr>
                <w:rFonts w:ascii="Times New Roman" w:hAnsi="Times New Roman"/>
                <w:sz w:val="26"/>
                <w:szCs w:val="26"/>
              </w:rPr>
              <w:t>(субботники, акции) территории деятельности органа территориального общественного самоуправления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в том числе комплексных 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>до 5 - 5 баллов;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более 5 - 10 баллов</w:t>
            </w:r>
          </w:p>
        </w:tc>
      </w:tr>
      <w:tr w:rsidR="007F5648" w:rsidRPr="004A6395" w:rsidTr="006341C4">
        <w:trPr>
          <w:tblCellSpacing w:w="15" w:type="dxa"/>
        </w:trPr>
        <w:tc>
          <w:tcPr>
            <w:tcW w:w="684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культурно-массовых и спортивно-массовых мероприятий с участием населения на территории деятельности органов территориального общественного самоуправления 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 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 xml:space="preserve">до 5 - </w:t>
            </w:r>
            <w:r>
              <w:rPr>
                <w:rFonts w:eastAsia="Calibri"/>
                <w:sz w:val="26"/>
                <w:szCs w:val="26"/>
                <w:lang w:eastAsia="en-US"/>
              </w:rPr>
              <w:t>3 балла</w:t>
            </w:r>
            <w:r w:rsidRPr="004A639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более 5 -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7F5648" w:rsidRPr="004A6395" w:rsidTr="006341C4">
        <w:trPr>
          <w:tblCellSpacing w:w="15" w:type="dxa"/>
        </w:trPr>
        <w:tc>
          <w:tcPr>
            <w:tcW w:w="684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Содействие в выявлении фактов нарушения правил благоустройства и содержания домашних животных, самовольного строительства домов, сооружений, гаражей и пристроек к ним на территории деятельности органов территориального общественного самоуправления; 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обращений в уполномоченные органы</w:t>
            </w:r>
            <w:r>
              <w:rPr>
                <w:rFonts w:ascii="Times New Roman" w:hAnsi="Times New Roman"/>
                <w:sz w:val="26"/>
                <w:szCs w:val="26"/>
              </w:rPr>
              <w:t>, специализированные организации, органы государственной власти и местного самоуправления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 xml:space="preserve">до 5 -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A6395">
              <w:rPr>
                <w:rFonts w:eastAsia="Calibri"/>
                <w:sz w:val="26"/>
                <w:szCs w:val="26"/>
                <w:lang w:eastAsia="en-US"/>
              </w:rPr>
              <w:t xml:space="preserve"> баллов;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более 5 -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7F5648" w:rsidRPr="004A6395" w:rsidTr="006341C4">
        <w:trPr>
          <w:trHeight w:val="1548"/>
          <w:tblCellSpacing w:w="15" w:type="dxa"/>
        </w:trPr>
        <w:tc>
          <w:tcPr>
            <w:tcW w:w="684" w:type="dxa"/>
            <w:vMerge w:val="restart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Взаимодействие с управляющими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компаниями,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ресурсоснабжающими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организациями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по решению вопросов жизнеобеспечения, вывоза мусора, уличного освещения, </w:t>
            </w:r>
            <w:r w:rsidRPr="004A6395">
              <w:rPr>
                <w:rStyle w:val="bx-messenger-message"/>
                <w:rFonts w:ascii="Times New Roman" w:hAnsi="Times New Roman"/>
                <w:sz w:val="26"/>
                <w:szCs w:val="26"/>
              </w:rPr>
              <w:t>проведение работы с населением по взысканию задолженности по коммунальным услугам в многоквартирных домах,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содействие заключению договоров на вывоз ТКО между собственниками индивидуальных жилых домов и управляющими компаниями.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обращений в управляющие компании,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ресурсоснабжающие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200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5 - 2 балла</w:t>
            </w:r>
            <w:r w:rsidRPr="004A639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более 5 - 10 баллов</w:t>
            </w:r>
          </w:p>
        </w:tc>
      </w:tr>
      <w:tr w:rsidR="007F5648" w:rsidRPr="004A6395" w:rsidTr="006341C4">
        <w:trPr>
          <w:trHeight w:val="1546"/>
          <w:tblCellSpacing w:w="15" w:type="dxa"/>
        </w:trPr>
        <w:tc>
          <w:tcPr>
            <w:tcW w:w="684" w:type="dxa"/>
            <w:vMerge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встреч, проведенных с населением по взысканию задолженности по коммунальным услугам в многоквартирных домах, расположенных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(подтвержденных документально)</w:t>
            </w:r>
          </w:p>
        </w:tc>
        <w:tc>
          <w:tcPr>
            <w:tcW w:w="200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5 мероприятий в квартал – 2 балла;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F5648" w:rsidRPr="003347D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более 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>5 мероприятий в квартал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10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баллов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7F5648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случае снижения задолженности по оплате коммунальных услуг – 15 баллов (на основании информации УК за отчетный период)</w:t>
            </w:r>
          </w:p>
        </w:tc>
      </w:tr>
      <w:tr w:rsidR="007F5648" w:rsidRPr="004A6395" w:rsidTr="006341C4">
        <w:trPr>
          <w:trHeight w:val="1546"/>
          <w:tblCellSpacing w:w="15" w:type="dxa"/>
        </w:trPr>
        <w:tc>
          <w:tcPr>
            <w:tcW w:w="684" w:type="dxa"/>
            <w:vMerge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процент соотношения количества договоров на вывоз ТКО, заключенных в отчетном периоде от общего числа ИЖД, расположенных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ТОСа</w:t>
            </w:r>
            <w:proofErr w:type="spellEnd"/>
          </w:p>
        </w:tc>
        <w:tc>
          <w:tcPr>
            <w:tcW w:w="200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3347D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7D5">
              <w:rPr>
                <w:rFonts w:eastAsia="Calibri"/>
                <w:sz w:val="26"/>
                <w:szCs w:val="26"/>
                <w:lang w:eastAsia="en-US"/>
              </w:rPr>
              <w:t>до 10 % - 5 баллов;</w:t>
            </w:r>
          </w:p>
          <w:p w:rsidR="007F5648" w:rsidRPr="004A6395" w:rsidRDefault="007F5648" w:rsidP="006341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7D5">
              <w:rPr>
                <w:rFonts w:eastAsia="Calibri"/>
                <w:sz w:val="26"/>
                <w:szCs w:val="26"/>
                <w:lang w:eastAsia="en-US"/>
              </w:rPr>
              <w:t>более 10% - 10 баллов</w:t>
            </w:r>
          </w:p>
        </w:tc>
      </w:tr>
    </w:tbl>
    <w:p w:rsidR="007F5648" w:rsidRDefault="007F5648" w:rsidP="007F56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".</w:t>
      </w:r>
    </w:p>
    <w:p w:rsidR="007F5648" w:rsidRDefault="007F5648" w:rsidP="007F564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Приложение 4 к Порядку изложить в следующей редакции:</w:t>
      </w:r>
    </w:p>
    <w:p w:rsidR="007F5648" w:rsidRDefault="007F5648" w:rsidP="007F56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48" w:rsidRDefault="007F5648" w:rsidP="007F5648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предоставления выплаты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председателям </w:t>
      </w:r>
      <w:proofErr w:type="gramStart"/>
      <w:r>
        <w:rPr>
          <w:rFonts w:eastAsiaTheme="minorHAnsi"/>
          <w:sz w:val="26"/>
          <w:szCs w:val="26"/>
          <w:lang w:eastAsia="en-US"/>
        </w:rPr>
        <w:t>территориальных</w:t>
      </w:r>
      <w:proofErr w:type="gramEnd"/>
    </w:p>
    <w:p w:rsidR="007F5648" w:rsidRDefault="007F5648" w:rsidP="007F564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A167F7">
        <w:rPr>
          <w:rStyle w:val="bx-messenger-message"/>
          <w:sz w:val="26"/>
          <w:szCs w:val="26"/>
        </w:rPr>
        <w:t>муниципальном образовании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F5648" w:rsidRDefault="007F5648" w:rsidP="007F564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F5648" w:rsidRPr="00C0659F" w:rsidRDefault="007F5648" w:rsidP="007F5648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  <w:r w:rsidRPr="00C0659F">
        <w:rPr>
          <w:rFonts w:eastAsiaTheme="minorHAnsi"/>
          <w:bCs/>
          <w:sz w:val="26"/>
          <w:szCs w:val="26"/>
          <w:lang w:eastAsia="en-US"/>
        </w:rPr>
        <w:t>Информационно-аналитический отчет</w:t>
      </w:r>
    </w:p>
    <w:p w:rsidR="007F5648" w:rsidRPr="00C0659F" w:rsidRDefault="007F5648" w:rsidP="007F5648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  <w:r w:rsidRPr="00C0659F">
        <w:rPr>
          <w:rFonts w:eastAsiaTheme="minorHAnsi"/>
          <w:bCs/>
          <w:sz w:val="26"/>
          <w:szCs w:val="26"/>
          <w:lang w:eastAsia="en-US"/>
        </w:rPr>
        <w:t>председателя ТОС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Информационно-аналитический отчет председателя ТОС должен включать </w:t>
      </w:r>
      <w:r>
        <w:rPr>
          <w:rFonts w:eastAsiaTheme="minorHAnsi"/>
          <w:sz w:val="26"/>
          <w:szCs w:val="26"/>
          <w:lang w:eastAsia="en-US"/>
        </w:rPr>
        <w:br/>
        <w:t>в себя следующую информацию: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описание содержания проделанной работы в соответствии с годовым календарным планом с указанием фактического срока реализации мероприятий, с приложением документов, подтверждающих проведение мероприятий: рекомендательные письма, статьи, копии дипломов, благодарственных писем, фотографии, иные документы и информационные материалы о деятельности территориального общественного самоуправления;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количестве проведенных собраний (конференций) граждан, заседаний коллегиального органа ТОС с приложением копий протоколов;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достигнутые результаты;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оценка успешности проведенных мероприятий;</w:t>
      </w:r>
    </w:p>
    <w:p w:rsidR="007F5648" w:rsidRDefault="007F5648" w:rsidP="007F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недостатки, выявленные в ходе реализации мероприятий.</w:t>
      </w:r>
    </w:p>
    <w:p w:rsidR="007F5648" w:rsidRDefault="007F5648" w:rsidP="007F56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9" w:type="dxa"/>
        <w:tblCellSpacing w:w="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3583"/>
        <w:gridCol w:w="3631"/>
        <w:gridCol w:w="1735"/>
      </w:tblGrid>
      <w:tr w:rsidR="007F5648" w:rsidRPr="004A6395" w:rsidTr="006341C4">
        <w:trPr>
          <w:tblCellSpacing w:w="15" w:type="dxa"/>
        </w:trPr>
        <w:tc>
          <w:tcPr>
            <w:tcW w:w="685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639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z w:val="26"/>
                <w:szCs w:val="26"/>
              </w:rPr>
              <w:t>, за квартал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Default="007F5648" w:rsidP="006341C4">
            <w:pPr>
              <w:pStyle w:val="aff0"/>
              <w:ind w:left="-599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648" w:rsidRPr="004A6395" w:rsidRDefault="007F5648" w:rsidP="006341C4">
            <w:pPr>
              <w:pStyle w:val="aff0"/>
              <w:ind w:left="-599" w:firstLine="6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7F5648" w:rsidRPr="004A6395" w:rsidTr="006341C4">
        <w:trPr>
          <w:tblCellSpacing w:w="15" w:type="dxa"/>
        </w:trPr>
        <w:tc>
          <w:tcPr>
            <w:tcW w:w="685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деятельности органов местного самоуправления по текущим и перспективным вопросам социально-экономического развития </w:t>
            </w:r>
            <w:r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муниципально</w:t>
            </w:r>
            <w:r>
              <w:rPr>
                <w:rStyle w:val="bx-messenger-message"/>
                <w:rFonts w:ascii="Times New Roman" w:hAnsi="Times New Roman"/>
                <w:sz w:val="26"/>
                <w:szCs w:val="26"/>
              </w:rPr>
              <w:t>го</w:t>
            </w:r>
            <w:r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>
              <w:rPr>
                <w:rStyle w:val="bx-messenger-message"/>
                <w:rFonts w:ascii="Times New Roman" w:hAnsi="Times New Roman"/>
                <w:sz w:val="26"/>
                <w:szCs w:val="26"/>
              </w:rPr>
              <w:t>я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"Городской округ "Город Нарьян-Мар";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путем организации встреч и/или использования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>информационных ресурсов сети Интернет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48" w:rsidRPr="004A6395" w:rsidTr="006341C4">
        <w:trPr>
          <w:tblCellSpacing w:w="15" w:type="dxa"/>
        </w:trPr>
        <w:tc>
          <w:tcPr>
            <w:tcW w:w="685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Проведение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собраний членов ТОС,  заседаний Совета (Комитета) ТОС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48" w:rsidRPr="004A6395" w:rsidTr="006341C4">
        <w:trPr>
          <w:tblCellSpacing w:w="15" w:type="dxa"/>
        </w:trPr>
        <w:tc>
          <w:tcPr>
            <w:tcW w:w="685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работ по санитарной очистке, благоустройству </w:t>
            </w:r>
            <w:r>
              <w:rPr>
                <w:rFonts w:ascii="Times New Roman" w:hAnsi="Times New Roman"/>
                <w:sz w:val="26"/>
                <w:szCs w:val="26"/>
              </w:rPr>
              <w:t>(субботники, акции) территории деятельности органа территориального общественного самоуправления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в том числе комплексных 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48" w:rsidRPr="004A6395" w:rsidTr="006341C4">
        <w:trPr>
          <w:tblCellSpacing w:w="15" w:type="dxa"/>
        </w:trPr>
        <w:tc>
          <w:tcPr>
            <w:tcW w:w="685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культурно-массовых и спортивно-массовых мероприятий с участием населения на территории деятельности органов территориального общественного самоуправления 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 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48" w:rsidRPr="004A6395" w:rsidTr="006341C4">
        <w:trPr>
          <w:tblCellSpacing w:w="15" w:type="dxa"/>
        </w:trPr>
        <w:tc>
          <w:tcPr>
            <w:tcW w:w="685" w:type="dxa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Содействие в выявлении фактов нарушения правил благоустройства и содержания домашних животных, самовольного строительства домов, сооружений, гаражей и пристроек к ним на территории деятельности органов территориального общественного самоуправления; 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обращений в уполномоченные органы</w:t>
            </w:r>
            <w:r>
              <w:rPr>
                <w:rFonts w:ascii="Times New Roman" w:hAnsi="Times New Roman"/>
                <w:sz w:val="26"/>
                <w:szCs w:val="26"/>
              </w:rPr>
              <w:t>, специализированные организации, органы государственной власти и местного самоуправления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48" w:rsidRPr="004A6395" w:rsidTr="006341C4">
        <w:trPr>
          <w:trHeight w:val="1548"/>
          <w:tblCellSpacing w:w="15" w:type="dxa"/>
        </w:trPr>
        <w:tc>
          <w:tcPr>
            <w:tcW w:w="685" w:type="dxa"/>
            <w:vMerge w:val="restart"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Взаимодействие с управляющими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компаниями,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ресурсоснабжающими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организациями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по решению вопросов жизнеобеспечения, вывоза мусора, уличного освещения, </w:t>
            </w:r>
            <w:r w:rsidRPr="004A6395">
              <w:rPr>
                <w:rStyle w:val="bx-messenger-message"/>
                <w:rFonts w:ascii="Times New Roman" w:hAnsi="Times New Roman"/>
                <w:sz w:val="26"/>
                <w:szCs w:val="26"/>
              </w:rPr>
              <w:t>проведение работы с населением по взысканию задолженности по коммунальным услугам в многоквартирных домах,</w:t>
            </w:r>
          </w:p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содействие заключению договоров на вывоз ТКО между собственниками индивидуальных жилых домов и управляющими компаниями.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обращений в управляющие компании,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ресурсоснабжающие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69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648" w:rsidRPr="004A6395" w:rsidRDefault="007F5648" w:rsidP="006341C4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648" w:rsidRPr="004A6395" w:rsidTr="006341C4">
        <w:trPr>
          <w:trHeight w:val="1546"/>
          <w:tblCellSpacing w:w="15" w:type="dxa"/>
        </w:trPr>
        <w:tc>
          <w:tcPr>
            <w:tcW w:w="685" w:type="dxa"/>
            <w:vMerge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встреч, проведенных с населением по взысканию задолженности по коммунальным услугам в многоквартирных домах, расположенных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(подтвержденных документально)</w:t>
            </w:r>
          </w:p>
        </w:tc>
        <w:tc>
          <w:tcPr>
            <w:tcW w:w="169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ind w:left="-599"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F5648" w:rsidRPr="004A6395" w:rsidTr="006341C4">
        <w:trPr>
          <w:trHeight w:val="1546"/>
          <w:tblCellSpacing w:w="15" w:type="dxa"/>
        </w:trPr>
        <w:tc>
          <w:tcPr>
            <w:tcW w:w="685" w:type="dxa"/>
            <w:vMerge/>
          </w:tcPr>
          <w:p w:rsidR="007F5648" w:rsidRPr="004A6395" w:rsidRDefault="007F5648" w:rsidP="006341C4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процент соотношения количества договоров на вывоз ТКО, заключенных в отчетном периоде от общего числа ИЖД, расположенных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ТОСа</w:t>
            </w:r>
            <w:proofErr w:type="spellEnd"/>
          </w:p>
        </w:tc>
        <w:tc>
          <w:tcPr>
            <w:tcW w:w="169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648" w:rsidRPr="004A6395" w:rsidRDefault="007F5648" w:rsidP="006341C4">
            <w:pPr>
              <w:autoSpaceDE w:val="0"/>
              <w:autoSpaceDN w:val="0"/>
              <w:adjustRightInd w:val="0"/>
              <w:ind w:left="-599"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F5648" w:rsidRDefault="007F5648" w:rsidP="007F56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".</w:t>
      </w:r>
    </w:p>
    <w:p w:rsidR="007F5648" w:rsidRPr="00925EED" w:rsidRDefault="007F5648" w:rsidP="007F5648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2.</w:t>
      </w:r>
      <w:r w:rsidRPr="00925EED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 дня</w:t>
      </w:r>
      <w:r w:rsidRPr="00925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925EED">
        <w:rPr>
          <w:rFonts w:ascii="Times New Roman" w:hAnsi="Times New Roman"/>
          <w:sz w:val="26"/>
          <w:szCs w:val="26"/>
        </w:rPr>
        <w:t>официально</w:t>
      </w:r>
      <w:r>
        <w:rPr>
          <w:rFonts w:ascii="Times New Roman" w:hAnsi="Times New Roman"/>
          <w:sz w:val="26"/>
          <w:szCs w:val="26"/>
        </w:rPr>
        <w:t>го</w:t>
      </w:r>
      <w:r w:rsidRPr="00925EED">
        <w:rPr>
          <w:rFonts w:ascii="Times New Roman" w:hAnsi="Times New Roman"/>
          <w:sz w:val="26"/>
          <w:szCs w:val="26"/>
        </w:rPr>
        <w:t xml:space="preserve"> опубликовани</w:t>
      </w:r>
      <w:r>
        <w:rPr>
          <w:rFonts w:ascii="Times New Roman" w:hAnsi="Times New Roman"/>
          <w:sz w:val="26"/>
          <w:szCs w:val="26"/>
        </w:rPr>
        <w:t>я и распространяется на правоотношения, возникшие с 01.04.2019 года</w:t>
      </w:r>
      <w:r w:rsidRPr="00925EED">
        <w:rPr>
          <w:rFonts w:ascii="Times New Roman" w:hAnsi="Times New Roman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6E7F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194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48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7F5648"/>
  </w:style>
  <w:style w:type="paragraph" w:styleId="aff0">
    <w:name w:val="No Spacing"/>
    <w:uiPriority w:val="1"/>
    <w:qFormat/>
    <w:rsid w:val="007F56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9B5C-44BA-4743-91CD-152D407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2019-06-17T05:42:00Z</dcterms:created>
  <dcterms:modified xsi:type="dcterms:W3CDTF">2019-06-17T05:42:00Z</dcterms:modified>
</cp:coreProperties>
</file>