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D1" w:rsidRPr="000A70A6" w:rsidRDefault="00E209D1" w:rsidP="00E209D1">
      <w:pPr>
        <w:spacing w:after="0" w:line="240" w:lineRule="auto"/>
        <w:contextualSpacing/>
        <w:jc w:val="center"/>
        <w:rPr>
          <w:b/>
          <w:szCs w:val="26"/>
        </w:rPr>
      </w:pPr>
      <w:r w:rsidRPr="000A70A6">
        <w:rPr>
          <w:b/>
          <w:szCs w:val="26"/>
        </w:rPr>
        <w:t>Информация</w:t>
      </w:r>
    </w:p>
    <w:p w:rsidR="00DC5E14" w:rsidRPr="000A70A6" w:rsidRDefault="00E209D1" w:rsidP="00DC5E14">
      <w:pPr>
        <w:pStyle w:val="ConsPlusNonformat"/>
        <w:jc w:val="center"/>
        <w:rPr>
          <w:rFonts w:ascii="Times New Roman" w:hAnsi="Times New Roman" w:cs="Times New Roman"/>
          <w:sz w:val="26"/>
          <w:szCs w:val="26"/>
        </w:rPr>
      </w:pPr>
      <w:r w:rsidRPr="000A70A6">
        <w:rPr>
          <w:b/>
          <w:szCs w:val="26"/>
        </w:rPr>
        <w:t xml:space="preserve"> </w:t>
      </w:r>
      <w:r w:rsidR="00DC5E14" w:rsidRPr="000A70A6">
        <w:rPr>
          <w:rFonts w:ascii="Times New Roman" w:hAnsi="Times New Roman" w:cs="Times New Roman"/>
          <w:sz w:val="26"/>
          <w:szCs w:val="26"/>
        </w:rPr>
        <w:t xml:space="preserve">плановой выездной проверки </w:t>
      </w:r>
      <w:r w:rsidR="00DC5E14" w:rsidRPr="000A70A6">
        <w:rPr>
          <w:rFonts w:ascii="Times New Roman" w:hAnsi="Times New Roman" w:cs="Times New Roman"/>
          <w:spacing w:val="2"/>
          <w:sz w:val="26"/>
          <w:szCs w:val="26"/>
          <w:shd w:val="clear" w:color="auto" w:fill="FFFFFF"/>
        </w:rPr>
        <w:t>соблюдения бюджетного законодательства Российской Федерации и иных нормативных правовых актов, регулирующих бюджетные правоотношения в отношении МКУ «Управление городского хозяйства г. Нарьян-Мара»</w:t>
      </w:r>
    </w:p>
    <w:p w:rsidR="00367A01" w:rsidRPr="000A70A6" w:rsidRDefault="00367A01" w:rsidP="00367A01">
      <w:pPr>
        <w:spacing w:after="0" w:line="240" w:lineRule="auto"/>
        <w:jc w:val="center"/>
        <w:rPr>
          <w:b/>
          <w:spacing w:val="2"/>
          <w:szCs w:val="26"/>
          <w:shd w:val="clear" w:color="auto" w:fill="FFFFFF"/>
        </w:rPr>
      </w:pPr>
    </w:p>
    <w:p w:rsidR="00E209D1" w:rsidRPr="000A70A6" w:rsidRDefault="00E209D1" w:rsidP="00367A01">
      <w:pPr>
        <w:spacing w:after="0" w:line="240" w:lineRule="auto"/>
        <w:contextualSpacing/>
        <w:jc w:val="center"/>
        <w:rPr>
          <w:b/>
          <w:szCs w:val="26"/>
        </w:rPr>
      </w:pPr>
    </w:p>
    <w:p w:rsidR="00E209D1" w:rsidRPr="000A70A6" w:rsidRDefault="00DC5E14" w:rsidP="00E209D1">
      <w:pPr>
        <w:tabs>
          <w:tab w:val="left" w:pos="426"/>
        </w:tabs>
        <w:spacing w:after="0" w:line="240" w:lineRule="auto"/>
        <w:ind w:firstLine="709"/>
        <w:jc w:val="both"/>
        <w:rPr>
          <w:spacing w:val="2"/>
          <w:szCs w:val="26"/>
          <w:shd w:val="clear" w:color="auto" w:fill="FFFFFF"/>
        </w:rPr>
      </w:pPr>
      <w:r w:rsidRPr="000A70A6">
        <w:rPr>
          <w:szCs w:val="26"/>
        </w:rPr>
        <w:t>В соответствии с пунктом 3 Плана контрольных мероприятий контрольной деятельности отдела внутреннего муниципального финансового контроля Администрации МО «Городской округ «Город Нарьян-Мар» в финансово-бюджетной сфере на 2018 год, утвержденного постановлением Администрации муниципального образования «Городской округ «Город Нарьян-Мар» от 18.12.2017 № 1390 и н</w:t>
      </w:r>
      <w:r w:rsidR="00367A01" w:rsidRPr="000A70A6">
        <w:rPr>
          <w:szCs w:val="26"/>
        </w:rPr>
        <w:t xml:space="preserve">а основании распоряжения Администрации муниципального образования "Городской округ "Город Нарьян-Мар" </w:t>
      </w:r>
      <w:r w:rsidRPr="000A70A6">
        <w:rPr>
          <w:szCs w:val="26"/>
        </w:rPr>
        <w:t>№ 177-р от 15.03.2018</w:t>
      </w:r>
      <w:r w:rsidR="00367A01" w:rsidRPr="000A70A6">
        <w:rPr>
          <w:szCs w:val="26"/>
        </w:rPr>
        <w:t xml:space="preserve">, </w:t>
      </w:r>
      <w:r w:rsidR="00367A01" w:rsidRPr="000A70A6">
        <w:t xml:space="preserve">проведена плановая проверка </w:t>
      </w:r>
      <w:r w:rsidRPr="000A70A6">
        <w:rPr>
          <w:spacing w:val="2"/>
          <w:szCs w:val="26"/>
          <w:shd w:val="clear" w:color="auto" w:fill="FFFFFF"/>
        </w:rPr>
        <w:t>соблюдения бюджетного законодательства Российской Федерации и иных нормативных правовых актов, регулирующих бюджетные правоотношения в отношении МКУ «Управление городского хозяйства г. Нарьян-Мара»</w:t>
      </w:r>
      <w:r w:rsidRPr="000A70A6">
        <w:rPr>
          <w:szCs w:val="26"/>
        </w:rPr>
        <w:t>»</w:t>
      </w:r>
      <w:r w:rsidR="00E209D1" w:rsidRPr="000A70A6">
        <w:rPr>
          <w:spacing w:val="2"/>
          <w:szCs w:val="26"/>
          <w:shd w:val="clear" w:color="auto" w:fill="FFFFFF"/>
        </w:rPr>
        <w:t>.</w:t>
      </w:r>
    </w:p>
    <w:p w:rsidR="00E209D1" w:rsidRPr="000A70A6" w:rsidRDefault="00E209D1" w:rsidP="00E209D1">
      <w:pPr>
        <w:pStyle w:val="ConsPlusNonformat"/>
        <w:ind w:firstLine="709"/>
        <w:jc w:val="both"/>
        <w:rPr>
          <w:rFonts w:ascii="Times New Roman" w:hAnsi="Times New Roman" w:cs="Times New Roman"/>
          <w:sz w:val="26"/>
          <w:szCs w:val="26"/>
        </w:rPr>
      </w:pPr>
      <w:r w:rsidRPr="000A70A6">
        <w:rPr>
          <w:rFonts w:ascii="Times New Roman" w:hAnsi="Times New Roman"/>
          <w:spacing w:val="2"/>
          <w:sz w:val="26"/>
          <w:szCs w:val="26"/>
          <w:u w:val="single"/>
          <w:shd w:val="clear" w:color="auto" w:fill="FFFFFF"/>
        </w:rPr>
        <w:t>Объект проверки:</w:t>
      </w:r>
      <w:r w:rsidRPr="000A70A6">
        <w:rPr>
          <w:rFonts w:ascii="Times New Roman" w:hAnsi="Times New Roman"/>
          <w:spacing w:val="2"/>
          <w:sz w:val="26"/>
          <w:szCs w:val="26"/>
          <w:shd w:val="clear" w:color="auto" w:fill="FFFFFF"/>
        </w:rPr>
        <w:t xml:space="preserve"> </w:t>
      </w:r>
      <w:r w:rsidR="00DC5E14" w:rsidRPr="000A70A6">
        <w:rPr>
          <w:rFonts w:ascii="Times New Roman" w:hAnsi="Times New Roman" w:cs="Times New Roman"/>
          <w:spacing w:val="2"/>
          <w:sz w:val="26"/>
          <w:szCs w:val="26"/>
          <w:shd w:val="clear" w:color="auto" w:fill="FFFFFF"/>
        </w:rPr>
        <w:t>МКУ «Управление городского хозяйства г. Нарьян-Мара»</w:t>
      </w:r>
      <w:r w:rsidR="00DC5E14" w:rsidRPr="000A70A6">
        <w:rPr>
          <w:rFonts w:ascii="Times New Roman" w:hAnsi="Times New Roman" w:cs="Times New Roman"/>
          <w:sz w:val="26"/>
          <w:szCs w:val="26"/>
        </w:rPr>
        <w:t>»</w:t>
      </w:r>
      <w:r w:rsidR="00DC5E14" w:rsidRPr="000A70A6">
        <w:rPr>
          <w:rFonts w:ascii="Times New Roman" w:hAnsi="Times New Roman"/>
          <w:sz w:val="26"/>
          <w:szCs w:val="26"/>
        </w:rPr>
        <w:t>, (далее – Учреждение</w:t>
      </w:r>
      <w:r w:rsidR="00367A01" w:rsidRPr="000A70A6">
        <w:rPr>
          <w:rFonts w:ascii="Times New Roman" w:hAnsi="Times New Roman"/>
          <w:sz w:val="26"/>
          <w:szCs w:val="26"/>
        </w:rPr>
        <w:t>)</w:t>
      </w:r>
      <w:r w:rsidRPr="000A70A6">
        <w:rPr>
          <w:rFonts w:ascii="Times New Roman" w:hAnsi="Times New Roman" w:cs="Times New Roman"/>
          <w:sz w:val="26"/>
          <w:szCs w:val="26"/>
        </w:rPr>
        <w:t xml:space="preserve">. </w:t>
      </w:r>
    </w:p>
    <w:p w:rsidR="00E209D1" w:rsidRPr="000A70A6" w:rsidRDefault="00E209D1" w:rsidP="00E209D1">
      <w:pPr>
        <w:pStyle w:val="ConsPlusNonformat"/>
        <w:ind w:firstLine="709"/>
        <w:jc w:val="both"/>
        <w:rPr>
          <w:rFonts w:ascii="Times New Roman" w:hAnsi="Times New Roman" w:cs="Times New Roman"/>
          <w:sz w:val="26"/>
          <w:szCs w:val="26"/>
        </w:rPr>
      </w:pPr>
      <w:r w:rsidRPr="000A70A6">
        <w:rPr>
          <w:rFonts w:ascii="Times New Roman" w:hAnsi="Times New Roman" w:cs="Times New Roman"/>
          <w:sz w:val="26"/>
          <w:szCs w:val="26"/>
          <w:u w:val="single"/>
        </w:rPr>
        <w:t>Срок проведения проверки:</w:t>
      </w:r>
      <w:r w:rsidRPr="000A70A6">
        <w:rPr>
          <w:rFonts w:ascii="Times New Roman" w:hAnsi="Times New Roman" w:cs="Times New Roman"/>
          <w:sz w:val="26"/>
          <w:szCs w:val="26"/>
        </w:rPr>
        <w:t xml:space="preserve"> </w:t>
      </w:r>
      <w:r w:rsidR="00367A01" w:rsidRPr="000A70A6">
        <w:rPr>
          <w:rFonts w:ascii="Times New Roman" w:hAnsi="Times New Roman"/>
          <w:sz w:val="26"/>
          <w:szCs w:val="26"/>
        </w:rPr>
        <w:t xml:space="preserve">с </w:t>
      </w:r>
      <w:r w:rsidR="00DC5E14" w:rsidRPr="000A70A6">
        <w:rPr>
          <w:rFonts w:ascii="Times New Roman" w:hAnsi="Times New Roman" w:cs="Times New Roman"/>
          <w:bCs/>
          <w:sz w:val="26"/>
          <w:szCs w:val="26"/>
        </w:rPr>
        <w:t xml:space="preserve">19.03.2018 </w:t>
      </w:r>
      <w:r w:rsidR="00367A01" w:rsidRPr="000A70A6">
        <w:rPr>
          <w:rFonts w:ascii="Times New Roman" w:hAnsi="Times New Roman"/>
          <w:sz w:val="26"/>
          <w:szCs w:val="26"/>
        </w:rPr>
        <w:t xml:space="preserve">по </w:t>
      </w:r>
      <w:r w:rsidR="00DC5E14" w:rsidRPr="000A70A6">
        <w:rPr>
          <w:rFonts w:ascii="Times New Roman" w:hAnsi="Times New Roman" w:cs="Times New Roman"/>
          <w:bCs/>
          <w:sz w:val="26"/>
          <w:szCs w:val="26"/>
        </w:rPr>
        <w:t>31.05.2018</w:t>
      </w:r>
      <w:r w:rsidRPr="000A70A6">
        <w:rPr>
          <w:rFonts w:ascii="Times New Roman" w:hAnsi="Times New Roman" w:cs="Times New Roman"/>
          <w:sz w:val="26"/>
          <w:szCs w:val="26"/>
        </w:rPr>
        <w:t>.</w:t>
      </w:r>
    </w:p>
    <w:p w:rsidR="00E209D1" w:rsidRPr="000A70A6" w:rsidRDefault="00E209D1" w:rsidP="00E209D1">
      <w:pPr>
        <w:pStyle w:val="ConsPlusNonformat"/>
        <w:ind w:firstLine="709"/>
        <w:jc w:val="both"/>
        <w:rPr>
          <w:rFonts w:ascii="Times New Roman" w:hAnsi="Times New Roman" w:cs="Times New Roman"/>
          <w:sz w:val="26"/>
          <w:szCs w:val="26"/>
        </w:rPr>
      </w:pPr>
      <w:r w:rsidRPr="000A70A6">
        <w:rPr>
          <w:rFonts w:ascii="Times New Roman" w:hAnsi="Times New Roman" w:cs="Times New Roman"/>
          <w:sz w:val="26"/>
          <w:szCs w:val="26"/>
          <w:u w:val="single"/>
        </w:rPr>
        <w:t xml:space="preserve">Проверяемый период: </w:t>
      </w:r>
      <w:r w:rsidR="00DC5E14" w:rsidRPr="000A70A6">
        <w:rPr>
          <w:rFonts w:ascii="Times New Roman" w:hAnsi="Times New Roman" w:cs="Times New Roman"/>
          <w:sz w:val="26"/>
          <w:szCs w:val="26"/>
        </w:rPr>
        <w:t>с 01.01.2016 по 31.12.2017</w:t>
      </w:r>
      <w:r w:rsidRPr="000A70A6">
        <w:rPr>
          <w:rFonts w:ascii="Times New Roman" w:hAnsi="Times New Roman" w:cs="Times New Roman"/>
          <w:sz w:val="26"/>
          <w:szCs w:val="26"/>
        </w:rPr>
        <w:t>.</w:t>
      </w:r>
    </w:p>
    <w:p w:rsidR="00E209D1" w:rsidRPr="000A70A6" w:rsidRDefault="00E209D1" w:rsidP="00E209D1">
      <w:pPr>
        <w:spacing w:line="240" w:lineRule="auto"/>
        <w:ind w:firstLine="709"/>
        <w:contextualSpacing/>
        <w:jc w:val="both"/>
        <w:rPr>
          <w:szCs w:val="26"/>
        </w:rPr>
      </w:pPr>
    </w:p>
    <w:p w:rsidR="00E209D1" w:rsidRPr="000A70A6" w:rsidRDefault="00E209D1" w:rsidP="00E209D1">
      <w:pPr>
        <w:spacing w:line="240" w:lineRule="auto"/>
        <w:ind w:firstLine="709"/>
        <w:contextualSpacing/>
        <w:jc w:val="both"/>
        <w:rPr>
          <w:szCs w:val="26"/>
        </w:rPr>
      </w:pPr>
      <w:r w:rsidRPr="000A70A6">
        <w:rPr>
          <w:szCs w:val="26"/>
        </w:rPr>
        <w:t xml:space="preserve">В результате проведения проверочных мероприятий </w:t>
      </w:r>
      <w:r w:rsidR="00DC5E14" w:rsidRPr="000A70A6">
        <w:rPr>
          <w:szCs w:val="26"/>
        </w:rPr>
        <w:t>установлены нарушения</w:t>
      </w:r>
      <w:r w:rsidRPr="000A70A6">
        <w:rPr>
          <w:szCs w:val="26"/>
        </w:rPr>
        <w:t>:</w:t>
      </w:r>
    </w:p>
    <w:p w:rsidR="004F745F" w:rsidRPr="000A70A6" w:rsidRDefault="004F745F" w:rsidP="004F745F">
      <w:pPr>
        <w:autoSpaceDE w:val="0"/>
        <w:autoSpaceDN w:val="0"/>
        <w:adjustRightInd w:val="0"/>
        <w:spacing w:after="0" w:line="240" w:lineRule="auto"/>
        <w:ind w:firstLine="709"/>
        <w:jc w:val="both"/>
        <w:rPr>
          <w:b/>
          <w:szCs w:val="26"/>
        </w:rPr>
      </w:pPr>
      <w:r w:rsidRPr="000A70A6">
        <w:rPr>
          <w:szCs w:val="26"/>
        </w:rPr>
        <w:t xml:space="preserve">- </w:t>
      </w:r>
      <w:hyperlink r:id="rId8" w:history="1">
        <w:r w:rsidRPr="000A70A6">
          <w:rPr>
            <w:szCs w:val="26"/>
          </w:rPr>
          <w:t>абзаца третьего пункта 5 статьи 161</w:t>
        </w:r>
        <w:r w:rsidR="000A10BA" w:rsidRPr="000A70A6">
          <w:rPr>
            <w:szCs w:val="26"/>
          </w:rPr>
          <w:t>,</w:t>
        </w:r>
        <w:r w:rsidRPr="000A70A6">
          <w:rPr>
            <w:szCs w:val="26"/>
          </w:rPr>
          <w:t xml:space="preserve"> статьи 162</w:t>
        </w:r>
      </w:hyperlink>
      <w:r w:rsidRPr="000A70A6">
        <w:rPr>
          <w:szCs w:val="26"/>
        </w:rPr>
        <w:t xml:space="preserve">, </w:t>
      </w:r>
      <w:hyperlink r:id="rId9" w:history="1">
        <w:r w:rsidRPr="000A70A6">
          <w:rPr>
            <w:szCs w:val="26"/>
          </w:rPr>
          <w:t>пункта 3 статьи 219</w:t>
        </w:r>
      </w:hyperlink>
      <w:r w:rsidRPr="000A70A6">
        <w:rPr>
          <w:szCs w:val="26"/>
        </w:rPr>
        <w:t xml:space="preserve"> Бюджетного кодекса Российской Федерации;</w:t>
      </w:r>
    </w:p>
    <w:p w:rsidR="00114886" w:rsidRPr="000A70A6" w:rsidRDefault="00114886" w:rsidP="00114886">
      <w:pPr>
        <w:autoSpaceDE w:val="0"/>
        <w:autoSpaceDN w:val="0"/>
        <w:adjustRightInd w:val="0"/>
        <w:spacing w:after="0" w:line="240" w:lineRule="auto"/>
        <w:ind w:firstLine="709"/>
        <w:jc w:val="both"/>
        <w:rPr>
          <w:szCs w:val="26"/>
        </w:rPr>
      </w:pPr>
      <w:r w:rsidRPr="000A70A6">
        <w:rPr>
          <w:szCs w:val="26"/>
        </w:rPr>
        <w:t xml:space="preserve">- </w:t>
      </w:r>
      <w:r w:rsidR="00AF31FE" w:rsidRPr="000A70A6">
        <w:rPr>
          <w:szCs w:val="26"/>
        </w:rPr>
        <w:t xml:space="preserve">статей 15, 119, 120, </w:t>
      </w:r>
      <w:r w:rsidRPr="000A70A6">
        <w:rPr>
          <w:szCs w:val="26"/>
        </w:rPr>
        <w:t>части 3 статьи 173</w:t>
      </w:r>
      <w:r w:rsidR="00AF31FE" w:rsidRPr="000A70A6">
        <w:rPr>
          <w:szCs w:val="26"/>
        </w:rPr>
        <w:t xml:space="preserve">, статьей 284 и 285 </w:t>
      </w:r>
      <w:r w:rsidRPr="000A70A6">
        <w:rPr>
          <w:szCs w:val="26"/>
        </w:rPr>
        <w:t>Трудовог</w:t>
      </w:r>
      <w:r w:rsidR="000A70A6">
        <w:rPr>
          <w:szCs w:val="26"/>
        </w:rPr>
        <w:t>о кодекса Российской Федерации;</w:t>
      </w:r>
    </w:p>
    <w:p w:rsidR="008B3A43" w:rsidRPr="000A70A6" w:rsidRDefault="008B3A43" w:rsidP="008B3A43">
      <w:pPr>
        <w:autoSpaceDE w:val="0"/>
        <w:autoSpaceDN w:val="0"/>
        <w:adjustRightInd w:val="0"/>
        <w:spacing w:after="0" w:line="240" w:lineRule="auto"/>
        <w:ind w:firstLine="709"/>
        <w:jc w:val="both"/>
        <w:rPr>
          <w:szCs w:val="26"/>
        </w:rPr>
      </w:pPr>
      <w:r w:rsidRPr="000A70A6">
        <w:rPr>
          <w:szCs w:val="26"/>
        </w:rPr>
        <w:t xml:space="preserve">- </w:t>
      </w:r>
      <w:hyperlink r:id="rId10" w:history="1">
        <w:r w:rsidRPr="000A70A6">
          <w:rPr>
            <w:szCs w:val="26"/>
          </w:rPr>
          <w:t>части 2 пункта 1 статьи 432</w:t>
        </w:r>
      </w:hyperlink>
      <w:r w:rsidRPr="000A70A6">
        <w:rPr>
          <w:szCs w:val="26"/>
        </w:rPr>
        <w:t>, статьи 506,</w:t>
      </w:r>
      <w:r w:rsidR="00257F7D" w:rsidRPr="000A70A6">
        <w:rPr>
          <w:szCs w:val="26"/>
        </w:rPr>
        <w:t xml:space="preserve"> части 1 статьи 708 </w:t>
      </w:r>
      <w:r w:rsidR="00755B73" w:rsidRPr="000A70A6">
        <w:rPr>
          <w:szCs w:val="26"/>
        </w:rPr>
        <w:t>Гражданского кодекса Российской Федерации;</w:t>
      </w:r>
    </w:p>
    <w:p w:rsidR="00114886" w:rsidRPr="000A70A6" w:rsidRDefault="00114886" w:rsidP="00114886">
      <w:pPr>
        <w:autoSpaceDE w:val="0"/>
        <w:autoSpaceDN w:val="0"/>
        <w:adjustRightInd w:val="0"/>
        <w:spacing w:after="0" w:line="240" w:lineRule="auto"/>
        <w:ind w:firstLine="709"/>
        <w:jc w:val="both"/>
        <w:rPr>
          <w:szCs w:val="26"/>
        </w:rPr>
      </w:pPr>
      <w:r w:rsidRPr="000A70A6">
        <w:rPr>
          <w:szCs w:val="26"/>
        </w:rPr>
        <w:t xml:space="preserve">- </w:t>
      </w:r>
      <w:r w:rsidR="008B3A43" w:rsidRPr="000A70A6">
        <w:rPr>
          <w:szCs w:val="26"/>
        </w:rPr>
        <w:t>с</w:t>
      </w:r>
      <w:r w:rsidRPr="000A70A6">
        <w:rPr>
          <w:szCs w:val="26"/>
        </w:rPr>
        <w:t>татьи 9, части 1 статьи 19</w:t>
      </w:r>
      <w:r w:rsidR="00755B73" w:rsidRPr="000A70A6">
        <w:rPr>
          <w:szCs w:val="26"/>
        </w:rPr>
        <w:t xml:space="preserve">, </w:t>
      </w:r>
      <w:r w:rsidRPr="000A70A6">
        <w:rPr>
          <w:szCs w:val="26"/>
        </w:rPr>
        <w:t>Федерального закона от 06.12.2011 №</w:t>
      </w:r>
      <w:r w:rsidR="000A70A6">
        <w:rPr>
          <w:szCs w:val="26"/>
        </w:rPr>
        <w:t xml:space="preserve"> 402-ФЗ "О бухгалтерском учете";</w:t>
      </w:r>
    </w:p>
    <w:p w:rsidR="00D05E8E" w:rsidRPr="000A70A6" w:rsidRDefault="00D05E8E" w:rsidP="00D05E8E">
      <w:pPr>
        <w:autoSpaceDE w:val="0"/>
        <w:autoSpaceDN w:val="0"/>
        <w:adjustRightInd w:val="0"/>
        <w:spacing w:after="0" w:line="240" w:lineRule="auto"/>
        <w:ind w:firstLine="709"/>
        <w:jc w:val="both"/>
        <w:rPr>
          <w:szCs w:val="26"/>
        </w:rPr>
      </w:pPr>
      <w:r w:rsidRPr="000A70A6">
        <w:rPr>
          <w:szCs w:val="26"/>
        </w:rPr>
        <w:t xml:space="preserve">- части 2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05E8E" w:rsidRPr="000A70A6" w:rsidRDefault="00D05E8E" w:rsidP="00D05E8E">
      <w:pPr>
        <w:pStyle w:val="ConsPlusNormal"/>
        <w:ind w:firstLine="709"/>
        <w:jc w:val="both"/>
      </w:pPr>
      <w:r w:rsidRPr="000A70A6">
        <w:rPr>
          <w:rFonts w:eastAsiaTheme="minorHAnsi"/>
          <w:lang w:eastAsia="en-US"/>
        </w:rPr>
        <w:t xml:space="preserve">- </w:t>
      </w:r>
      <w:hyperlink r:id="rId11" w:history="1">
        <w:r w:rsidRPr="000A70A6">
          <w:rPr>
            <w:rFonts w:eastAsiaTheme="minorHAnsi"/>
            <w:lang w:eastAsia="en-US"/>
          </w:rPr>
          <w:t>Постановления</w:t>
        </w:r>
      </w:hyperlink>
      <w:r w:rsidRPr="000A70A6">
        <w:rPr>
          <w:rFonts w:eastAsiaTheme="minorHAnsi"/>
          <w:lang w:eastAsia="en-US"/>
        </w:rPr>
        <w:t xml:space="preserve"> Правительства Российской Федерации от 01.01.2002 № 1 </w:t>
      </w:r>
      <w:r w:rsidR="000A70A6">
        <w:rPr>
          <w:rFonts w:eastAsiaTheme="minorHAnsi"/>
          <w:lang w:eastAsia="en-US"/>
        </w:rPr>
        <w:br/>
      </w:r>
      <w:r w:rsidRPr="000A70A6">
        <w:rPr>
          <w:rFonts w:eastAsiaTheme="minorHAnsi"/>
          <w:lang w:eastAsia="en-US"/>
        </w:rPr>
        <w:t>«О Классификации основных средств, включаемых в амортизационные группы»</w:t>
      </w:r>
      <w:r w:rsidR="000A70A6">
        <w:rPr>
          <w:rFonts w:eastAsiaTheme="minorHAnsi"/>
          <w:lang w:eastAsia="en-US"/>
        </w:rPr>
        <w:t>;</w:t>
      </w:r>
      <w:r w:rsidRPr="000A70A6">
        <w:rPr>
          <w:rFonts w:eastAsiaTheme="minorHAnsi"/>
          <w:lang w:eastAsia="en-US"/>
        </w:rPr>
        <w:t xml:space="preserve"> </w:t>
      </w:r>
    </w:p>
    <w:p w:rsidR="004F745F" w:rsidRPr="000A70A6" w:rsidRDefault="004F745F" w:rsidP="004F745F">
      <w:pPr>
        <w:autoSpaceDE w:val="0"/>
        <w:autoSpaceDN w:val="0"/>
        <w:adjustRightInd w:val="0"/>
        <w:spacing w:after="0" w:line="240" w:lineRule="auto"/>
        <w:ind w:firstLine="709"/>
        <w:jc w:val="both"/>
        <w:outlineLvl w:val="0"/>
        <w:rPr>
          <w:szCs w:val="26"/>
        </w:rPr>
      </w:pPr>
      <w:r w:rsidRPr="000A70A6">
        <w:rPr>
          <w:szCs w:val="26"/>
        </w:rPr>
        <w:t xml:space="preserve">- </w:t>
      </w:r>
      <w:hyperlink r:id="rId12" w:history="1">
        <w:r w:rsidRPr="000A70A6">
          <w:rPr>
            <w:szCs w:val="26"/>
          </w:rPr>
          <w:t>пункта 2</w:t>
        </w:r>
      </w:hyperlink>
      <w:r w:rsidR="00755B73" w:rsidRPr="000A70A6">
        <w:rPr>
          <w:szCs w:val="26"/>
        </w:rPr>
        <w:t>,</w:t>
      </w:r>
      <w:r w:rsidRPr="000A70A6">
        <w:rPr>
          <w:szCs w:val="26"/>
        </w:rPr>
        <w:t xml:space="preserve"> </w:t>
      </w:r>
      <w:r w:rsidR="00114886" w:rsidRPr="000A70A6">
        <w:rPr>
          <w:szCs w:val="26"/>
        </w:rPr>
        <w:t xml:space="preserve">абзаца 2 пункта 6.3 </w:t>
      </w:r>
      <w:r w:rsidRPr="000A70A6">
        <w:rPr>
          <w:szCs w:val="26"/>
        </w:rPr>
        <w:t xml:space="preserve">Указаний Банка России от 11.03.2014 </w:t>
      </w:r>
      <w:r w:rsidR="000A70A6">
        <w:rPr>
          <w:szCs w:val="26"/>
        </w:rPr>
        <w:br/>
      </w:r>
      <w:r w:rsidRPr="000A70A6">
        <w:rPr>
          <w:szCs w:val="26"/>
        </w:rPr>
        <w:t>№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9393E" w:rsidRPr="000A70A6" w:rsidRDefault="00C9393E" w:rsidP="00C9393E">
      <w:pPr>
        <w:spacing w:after="0" w:line="240" w:lineRule="auto"/>
        <w:ind w:firstLine="709"/>
        <w:jc w:val="both"/>
        <w:rPr>
          <w:szCs w:val="26"/>
        </w:rPr>
      </w:pPr>
      <w:r w:rsidRPr="000A70A6">
        <w:rPr>
          <w:szCs w:val="26"/>
        </w:rPr>
        <w:t>- пунктов 1.3, 3.32, 3.34 Методических указаний по инвентаризации имущества и финансовых обязательств, утвержденных приказом Минфина РФ от 13.06.1995 № 49;</w:t>
      </w:r>
    </w:p>
    <w:p w:rsidR="004F745F" w:rsidRPr="000A70A6" w:rsidRDefault="004F745F" w:rsidP="004F745F">
      <w:pPr>
        <w:autoSpaceDE w:val="0"/>
        <w:autoSpaceDN w:val="0"/>
        <w:adjustRightInd w:val="0"/>
        <w:spacing w:after="0" w:line="240" w:lineRule="auto"/>
        <w:ind w:firstLine="709"/>
        <w:jc w:val="both"/>
        <w:rPr>
          <w:szCs w:val="26"/>
        </w:rPr>
      </w:pPr>
      <w:r w:rsidRPr="000A70A6">
        <w:rPr>
          <w:szCs w:val="26"/>
        </w:rPr>
        <w:t xml:space="preserve">- пунктов 8, </w:t>
      </w:r>
      <w:r w:rsidR="008B3A43" w:rsidRPr="000A70A6">
        <w:rPr>
          <w:szCs w:val="26"/>
        </w:rPr>
        <w:t xml:space="preserve">9, </w:t>
      </w:r>
      <w:r w:rsidRPr="000A70A6">
        <w:rPr>
          <w:szCs w:val="26"/>
        </w:rPr>
        <w:t>11, абзаца 6 пункта 21</w:t>
      </w:r>
      <w:r w:rsidR="008B3A43" w:rsidRPr="000A70A6">
        <w:rPr>
          <w:szCs w:val="26"/>
        </w:rPr>
        <w:t xml:space="preserve">, </w:t>
      </w:r>
      <w:r w:rsidR="008B3A43" w:rsidRPr="000A70A6">
        <w:t>абзаца 3 пункта 92</w:t>
      </w:r>
      <w:r w:rsidR="00AF31FE" w:rsidRPr="000A70A6">
        <w:t>,</w:t>
      </w:r>
      <w:r w:rsidR="008B3A43" w:rsidRPr="000A70A6">
        <w:t xml:space="preserve"> </w:t>
      </w:r>
      <w:r w:rsidR="00755B73" w:rsidRPr="000A70A6">
        <w:t xml:space="preserve">пункта </w:t>
      </w:r>
      <w:r w:rsidR="00AF31FE" w:rsidRPr="000A70A6">
        <w:t xml:space="preserve">118 </w:t>
      </w:r>
      <w:r w:rsidR="000A10BA" w:rsidRPr="000A70A6">
        <w:rPr>
          <w:szCs w:val="26"/>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257F7D" w:rsidRPr="000A70A6">
        <w:rPr>
          <w:szCs w:val="26"/>
        </w:rPr>
        <w:t>№ 157н;</w:t>
      </w:r>
    </w:p>
    <w:p w:rsidR="00D05E8E" w:rsidRPr="000A70A6" w:rsidRDefault="00D05E8E" w:rsidP="00D05E8E">
      <w:pPr>
        <w:autoSpaceDE w:val="0"/>
        <w:autoSpaceDN w:val="0"/>
        <w:adjustRightInd w:val="0"/>
        <w:spacing w:after="0" w:line="240" w:lineRule="auto"/>
        <w:ind w:firstLine="709"/>
        <w:jc w:val="both"/>
        <w:rPr>
          <w:szCs w:val="26"/>
        </w:rPr>
      </w:pPr>
      <w:r w:rsidRPr="000A70A6">
        <w:rPr>
          <w:szCs w:val="26"/>
        </w:rPr>
        <w:t>- пункта 7</w:t>
      </w:r>
      <w:r w:rsidRPr="000A70A6">
        <w:t xml:space="preserve"> </w:t>
      </w:r>
      <w:r w:rsidRPr="000A70A6">
        <w:rPr>
          <w:szCs w:val="26"/>
        </w:rPr>
        <w:t xml:space="preserve">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w:t>
      </w:r>
      <w:r w:rsidRPr="000A70A6">
        <w:rPr>
          <w:szCs w:val="26"/>
        </w:rPr>
        <w:lastRenderedPageBreak/>
        <w:t>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0A70A6">
        <w:rPr>
          <w:szCs w:val="26"/>
          <w:u w:val="single"/>
        </w:rPr>
        <w:t xml:space="preserve"> </w:t>
      </w:r>
    </w:p>
    <w:p w:rsidR="00D05E8E" w:rsidRPr="000A70A6" w:rsidRDefault="00D05E8E" w:rsidP="00D05E8E">
      <w:pPr>
        <w:autoSpaceDE w:val="0"/>
        <w:autoSpaceDN w:val="0"/>
        <w:adjustRightInd w:val="0"/>
        <w:spacing w:after="0" w:line="240" w:lineRule="auto"/>
        <w:ind w:firstLine="709"/>
        <w:jc w:val="both"/>
        <w:outlineLvl w:val="0"/>
        <w:rPr>
          <w:szCs w:val="26"/>
        </w:rPr>
      </w:pPr>
      <w:r w:rsidRPr="000A70A6">
        <w:rPr>
          <w:szCs w:val="26"/>
        </w:rPr>
        <w:t>- главы 1 Приложения № 5 к приказу Министерства финансов Российской Федерации от 30.03.2015 № 52н;</w:t>
      </w:r>
    </w:p>
    <w:p w:rsidR="00257F7D" w:rsidRPr="000A70A6" w:rsidRDefault="00257F7D" w:rsidP="00257F7D">
      <w:pPr>
        <w:pStyle w:val="ConsPlusNormal"/>
        <w:ind w:firstLine="709"/>
        <w:jc w:val="both"/>
        <w:rPr>
          <w:rFonts w:eastAsiaTheme="minorHAnsi"/>
          <w:lang w:eastAsia="en-US"/>
        </w:rPr>
      </w:pPr>
      <w:r w:rsidRPr="000A70A6">
        <w:t>- пункта 25 Положения об особенностях режима рабочего времени и времени отдыха водителей автомобилей, утвержденного приказом Минтранса России от 20.08.2004 № 15;</w:t>
      </w:r>
    </w:p>
    <w:p w:rsidR="00D05E8E" w:rsidRPr="000A70A6" w:rsidRDefault="00D05E8E" w:rsidP="00D05E8E">
      <w:pPr>
        <w:pStyle w:val="ConsPlusNormal"/>
        <w:ind w:firstLine="709"/>
        <w:jc w:val="both"/>
      </w:pPr>
      <w:r w:rsidRPr="000A70A6">
        <w:rPr>
          <w:rFonts w:eastAsiaTheme="minorHAnsi"/>
          <w:lang w:eastAsia="en-US"/>
        </w:rPr>
        <w:t>- Приложения 2 к Методическим рекомендациям</w:t>
      </w:r>
      <w:r w:rsidRPr="000A70A6">
        <w:t xml:space="preserve"> от 14.03.2008 № АМ-23-р</w:t>
      </w:r>
      <w:r w:rsidR="00257F7D" w:rsidRPr="000A70A6">
        <w:t>;</w:t>
      </w:r>
    </w:p>
    <w:p w:rsidR="00D05E8E" w:rsidRPr="000A70A6" w:rsidRDefault="00D05E8E" w:rsidP="00D05E8E">
      <w:pPr>
        <w:autoSpaceDE w:val="0"/>
        <w:autoSpaceDN w:val="0"/>
        <w:adjustRightInd w:val="0"/>
        <w:spacing w:after="0" w:line="240" w:lineRule="auto"/>
        <w:ind w:firstLine="709"/>
        <w:jc w:val="both"/>
        <w:rPr>
          <w:szCs w:val="26"/>
        </w:rPr>
      </w:pPr>
      <w:r w:rsidRPr="000A70A6">
        <w:rPr>
          <w:szCs w:val="26"/>
        </w:rPr>
        <w:t xml:space="preserve">- Методических </w:t>
      </w:r>
      <w:hyperlink r:id="rId13" w:history="1">
        <w:r w:rsidRPr="000A70A6">
          <w:rPr>
            <w:szCs w:val="26"/>
          </w:rPr>
          <w:t>рекомендаций</w:t>
        </w:r>
      </w:hyperlink>
      <w:r w:rsidRPr="000A70A6">
        <w:rPr>
          <w:szCs w:val="26"/>
        </w:rPr>
        <w:t>, утвержденных письмом Минздрава РФ от 21.08.2003 № 2510/9468-03-32 «О предрейсовых медицинских осмотрах водителей транспортных средств»;</w:t>
      </w:r>
    </w:p>
    <w:p w:rsidR="00257F7D" w:rsidRPr="000A70A6" w:rsidRDefault="00257F7D" w:rsidP="00257F7D">
      <w:pPr>
        <w:pStyle w:val="ConsPlusNormal"/>
        <w:ind w:firstLine="709"/>
        <w:jc w:val="both"/>
        <w:rPr>
          <w:u w:val="single"/>
        </w:rPr>
      </w:pPr>
      <w:r w:rsidRPr="000A70A6">
        <w:rPr>
          <w:rFonts w:eastAsiaTheme="minorHAnsi"/>
        </w:rPr>
        <w:t xml:space="preserve">- пунктов 4, 7, 10, 14, 15, 16, </w:t>
      </w:r>
      <w:r w:rsidRPr="000A70A6">
        <w:t>абзаца 2 пункта 17 Правил компенсации расходов на оплату стоимости проезда и провоза багажа к месту использования отпуска (каникул, отдыха) и обратно, являющихся приложением 1 к Положению о гарантиях и компенсациях лицам, работающим в организациях, финансируемых за счет средств городского бюджета, утвержденному постановлением Нарьян-Марского городского Совета от 30.12.2004 № 255</w:t>
      </w:r>
      <w:r w:rsidRPr="000A70A6">
        <w:rPr>
          <w:rFonts w:eastAsiaTheme="minorHAnsi"/>
        </w:rPr>
        <w:t>;</w:t>
      </w:r>
    </w:p>
    <w:p w:rsidR="004F745F" w:rsidRPr="00755B73" w:rsidRDefault="004F745F" w:rsidP="004F745F">
      <w:pPr>
        <w:pStyle w:val="ConsPlusNormal"/>
        <w:ind w:firstLine="709"/>
        <w:jc w:val="both"/>
        <w:rPr>
          <w:rFonts w:eastAsiaTheme="minorHAnsi"/>
        </w:rPr>
      </w:pPr>
      <w:r w:rsidRPr="000A70A6">
        <w:rPr>
          <w:rFonts w:eastAsiaTheme="minorHAnsi"/>
        </w:rPr>
        <w:t xml:space="preserve">- </w:t>
      </w:r>
      <w:r w:rsidR="00C9393E" w:rsidRPr="000A70A6">
        <w:t>пункта 2</w:t>
      </w:r>
      <w:r w:rsidR="000A70A6" w:rsidRPr="000A70A6">
        <w:t xml:space="preserve">, </w:t>
      </w:r>
      <w:r w:rsidRPr="000A70A6">
        <w:rPr>
          <w:rFonts w:eastAsiaTheme="minorHAnsi"/>
        </w:rPr>
        <w:t>абзаца 4 подпункта «б» пункта 3</w:t>
      </w:r>
      <w:r w:rsidR="00114886" w:rsidRPr="000A70A6">
        <w:rPr>
          <w:rFonts w:eastAsiaTheme="minorHAnsi"/>
        </w:rPr>
        <w:t>,</w:t>
      </w:r>
      <w:r w:rsidRPr="000A70A6">
        <w:rPr>
          <w:rFonts w:eastAsiaTheme="minorHAnsi"/>
        </w:rPr>
        <w:t xml:space="preserve"> </w:t>
      </w:r>
      <w:r w:rsidR="00114886" w:rsidRPr="000A70A6">
        <w:t xml:space="preserve">абзаца 4 пункта 6 </w:t>
      </w:r>
      <w:r w:rsidRPr="000A70A6">
        <w:rPr>
          <w:rFonts w:eastAsiaTheme="minorHAnsi"/>
        </w:rPr>
        <w:t xml:space="preserve">Приложения к Правилам возмещения расходов, связанных со служебными командировками работников муниципальных </w:t>
      </w:r>
      <w:r w:rsidRPr="00755B73">
        <w:rPr>
          <w:rFonts w:eastAsiaTheme="minorHAnsi"/>
        </w:rPr>
        <w:t>учреждений МО «Городской округ «Город Нарьян-Мар», утвержденным постановлением Администрации МО «Городской округ «Город На</w:t>
      </w:r>
      <w:r w:rsidR="000A10BA" w:rsidRPr="00755B73">
        <w:rPr>
          <w:rFonts w:eastAsiaTheme="minorHAnsi"/>
        </w:rPr>
        <w:t>рьян-Мар» от 17.09.2007 № 1435;</w:t>
      </w:r>
    </w:p>
    <w:p w:rsidR="00C9393E" w:rsidRPr="00755B73" w:rsidRDefault="00C9393E" w:rsidP="00C9393E">
      <w:pPr>
        <w:autoSpaceDE w:val="0"/>
        <w:autoSpaceDN w:val="0"/>
        <w:adjustRightInd w:val="0"/>
        <w:spacing w:after="0" w:line="240" w:lineRule="auto"/>
        <w:ind w:firstLine="709"/>
        <w:jc w:val="both"/>
        <w:rPr>
          <w:szCs w:val="26"/>
        </w:rPr>
      </w:pPr>
      <w:r w:rsidRPr="00755B73">
        <w:rPr>
          <w:szCs w:val="26"/>
        </w:rPr>
        <w:t>- пункта 2.1. Порядка организации, проведения и финансирования капитального ремонта жилых помещений, находящихся в собственности МО «Городской округ «Город Нарьян-Мар», утвержденного постановлением Администрации МО «Городской округ «Город Н</w:t>
      </w:r>
      <w:r>
        <w:rPr>
          <w:szCs w:val="26"/>
        </w:rPr>
        <w:t>арьян-Мар» от 26.06.2013 № 1207;</w:t>
      </w:r>
      <w:r w:rsidRPr="00755B73">
        <w:rPr>
          <w:szCs w:val="26"/>
        </w:rPr>
        <w:t xml:space="preserve"> </w:t>
      </w:r>
    </w:p>
    <w:p w:rsidR="00D05E8E" w:rsidRPr="00755B73" w:rsidRDefault="00D05E8E" w:rsidP="00D05E8E">
      <w:pPr>
        <w:autoSpaceDE w:val="0"/>
        <w:autoSpaceDN w:val="0"/>
        <w:adjustRightInd w:val="0"/>
        <w:spacing w:after="0" w:line="240" w:lineRule="auto"/>
        <w:ind w:firstLine="709"/>
        <w:jc w:val="both"/>
        <w:rPr>
          <w:szCs w:val="26"/>
        </w:rPr>
      </w:pPr>
      <w:r w:rsidRPr="00755B73">
        <w:rPr>
          <w:szCs w:val="26"/>
        </w:rPr>
        <w:t xml:space="preserve">- пункта 2.3 пункта 4.4, </w:t>
      </w:r>
      <w:r w:rsidRPr="00755B73">
        <w:t xml:space="preserve">пункта 4.5 </w:t>
      </w:r>
      <w:r w:rsidRPr="00755B73">
        <w:rPr>
          <w:szCs w:val="26"/>
        </w:rPr>
        <w:t xml:space="preserve">Положения, утвержденного постановлением Администрации МО «Городской округ «Город Нарьян-Мар» от 22.06.2016 № 726; </w:t>
      </w:r>
    </w:p>
    <w:p w:rsidR="00AF31FE" w:rsidRPr="00755B73" w:rsidRDefault="00BE50FB" w:rsidP="00DC5E14">
      <w:pPr>
        <w:autoSpaceDE w:val="0"/>
        <w:autoSpaceDN w:val="0"/>
        <w:adjustRightInd w:val="0"/>
        <w:spacing w:after="0" w:line="240" w:lineRule="auto"/>
        <w:ind w:firstLine="709"/>
        <w:jc w:val="both"/>
        <w:rPr>
          <w:szCs w:val="26"/>
        </w:rPr>
      </w:pPr>
      <w:r w:rsidRPr="00755B73">
        <w:rPr>
          <w:szCs w:val="26"/>
        </w:rPr>
        <w:t>-</w:t>
      </w:r>
      <w:r w:rsidR="00DC5E14" w:rsidRPr="00755B73">
        <w:rPr>
          <w:szCs w:val="26"/>
        </w:rPr>
        <w:t xml:space="preserve"> </w:t>
      </w:r>
      <w:r w:rsidR="0006726C" w:rsidRPr="00755B73">
        <w:rPr>
          <w:szCs w:val="26"/>
        </w:rPr>
        <w:t xml:space="preserve">пункта 5.7, </w:t>
      </w:r>
      <w:r w:rsidR="00257F7D">
        <w:rPr>
          <w:szCs w:val="26"/>
        </w:rPr>
        <w:t>пункта 2.3, пункта 6.2.</w:t>
      </w:r>
      <w:r w:rsidR="00DC5E14" w:rsidRPr="00755B73">
        <w:rPr>
          <w:szCs w:val="26"/>
        </w:rPr>
        <w:t xml:space="preserve"> Положения об условиях и размерах оплаты труда работников муниципального казенного учреждения «Управление городского хозяйства г. Нарьян-Мара», утвержденного постановлением Администрации МО «Городской округ «Город Нарьян-Мар» от 30.12.2011 № 2316</w:t>
      </w:r>
      <w:r w:rsidR="00257F7D">
        <w:rPr>
          <w:szCs w:val="26"/>
        </w:rPr>
        <w:t>;</w:t>
      </w:r>
      <w:r w:rsidR="00DC5E14" w:rsidRPr="00755B73">
        <w:rPr>
          <w:szCs w:val="26"/>
        </w:rPr>
        <w:t xml:space="preserve"> </w:t>
      </w:r>
    </w:p>
    <w:p w:rsidR="00C9393E" w:rsidRPr="00755B73" w:rsidRDefault="00C9393E" w:rsidP="00C9393E">
      <w:pPr>
        <w:spacing w:after="0" w:line="240" w:lineRule="auto"/>
        <w:ind w:firstLine="709"/>
        <w:jc w:val="both"/>
        <w:rPr>
          <w:szCs w:val="26"/>
        </w:rPr>
      </w:pPr>
      <w:r w:rsidRPr="00755B73">
        <w:rPr>
          <w:szCs w:val="26"/>
        </w:rPr>
        <w:t xml:space="preserve">- пункта 4 Положения о выдаче наличных денежных средств и бланков строгой отчетности в подотчет и предоставлении отчетности подотчетными лицами, являющегося Приложением 6 к положению «Об учетной политике МКУ «УГХ г. Нарьян-Мара», утвержденному приказом от 10.01.2012 № 3-п; </w:t>
      </w:r>
    </w:p>
    <w:p w:rsidR="00C9393E" w:rsidRPr="00755B73" w:rsidRDefault="00C9393E" w:rsidP="00C9393E">
      <w:pPr>
        <w:autoSpaceDE w:val="0"/>
        <w:autoSpaceDN w:val="0"/>
        <w:adjustRightInd w:val="0"/>
        <w:spacing w:after="0" w:line="240" w:lineRule="auto"/>
        <w:ind w:firstLine="709"/>
        <w:jc w:val="both"/>
        <w:rPr>
          <w:szCs w:val="26"/>
        </w:rPr>
      </w:pPr>
      <w:r w:rsidRPr="00755B73">
        <w:rPr>
          <w:szCs w:val="26"/>
        </w:rPr>
        <w:t>- абзаца 2 пункта 1 Приложения 6 к положению «Об учетной политике МКУ «УГХ г. Нарьян-Мара», утвержденному приказом Учреждения от 10.01.2012 № 3-п;</w:t>
      </w:r>
    </w:p>
    <w:p w:rsidR="00C9393E" w:rsidRDefault="00AF31FE" w:rsidP="00C9393E">
      <w:pPr>
        <w:autoSpaceDE w:val="0"/>
        <w:autoSpaceDN w:val="0"/>
        <w:adjustRightInd w:val="0"/>
        <w:spacing w:after="0" w:line="240" w:lineRule="auto"/>
        <w:ind w:firstLine="709"/>
        <w:jc w:val="both"/>
        <w:rPr>
          <w:szCs w:val="26"/>
        </w:rPr>
      </w:pPr>
      <w:r w:rsidRPr="00755B73">
        <w:rPr>
          <w:szCs w:val="26"/>
        </w:rPr>
        <w:t>- пункта 4.8 Положения, утвержденного приказом У</w:t>
      </w:r>
      <w:r w:rsidR="00257F7D">
        <w:rPr>
          <w:szCs w:val="26"/>
        </w:rPr>
        <w:t>чреждения от 27.11.2013 № 442-п;</w:t>
      </w:r>
      <w:r w:rsidR="00C9393E" w:rsidRPr="00C9393E">
        <w:rPr>
          <w:szCs w:val="26"/>
        </w:rPr>
        <w:t xml:space="preserve"> </w:t>
      </w:r>
    </w:p>
    <w:p w:rsidR="00C9393E" w:rsidRPr="00755B73" w:rsidRDefault="00C9393E" w:rsidP="00C9393E">
      <w:pPr>
        <w:autoSpaceDE w:val="0"/>
        <w:autoSpaceDN w:val="0"/>
        <w:adjustRightInd w:val="0"/>
        <w:spacing w:after="0" w:line="240" w:lineRule="auto"/>
        <w:ind w:firstLine="709"/>
        <w:jc w:val="both"/>
        <w:rPr>
          <w:szCs w:val="26"/>
          <w:u w:val="single"/>
        </w:rPr>
      </w:pPr>
      <w:r w:rsidRPr="00755B73">
        <w:rPr>
          <w:szCs w:val="26"/>
        </w:rPr>
        <w:t>- пункта 5.5. Правил внутреннего трудового распорядка МКУ «УГХ г. Нарьян-Мара» (в ред. от 21.07.2014);</w:t>
      </w:r>
    </w:p>
    <w:p w:rsidR="00AF31FE" w:rsidRPr="00755B73" w:rsidRDefault="00AF31FE" w:rsidP="00AF31FE">
      <w:pPr>
        <w:autoSpaceDE w:val="0"/>
        <w:autoSpaceDN w:val="0"/>
        <w:adjustRightInd w:val="0"/>
        <w:spacing w:after="0" w:line="240" w:lineRule="auto"/>
        <w:ind w:firstLine="709"/>
        <w:jc w:val="both"/>
        <w:rPr>
          <w:szCs w:val="26"/>
        </w:rPr>
      </w:pPr>
      <w:r w:rsidRPr="00755B73">
        <w:rPr>
          <w:szCs w:val="26"/>
        </w:rPr>
        <w:t xml:space="preserve">- пункта 3.5.5, пункта 4.7 Положения, утвержденного приказом </w:t>
      </w:r>
      <w:r w:rsidR="00257F7D">
        <w:rPr>
          <w:szCs w:val="26"/>
        </w:rPr>
        <w:t>У</w:t>
      </w:r>
      <w:r w:rsidRPr="00755B73">
        <w:rPr>
          <w:szCs w:val="26"/>
        </w:rPr>
        <w:t>чреждения от 29.06.2016 № 64-п</w:t>
      </w:r>
      <w:r w:rsidR="00257F7D">
        <w:rPr>
          <w:szCs w:val="26"/>
        </w:rPr>
        <w:t>.</w:t>
      </w:r>
    </w:p>
    <w:p w:rsidR="00257F7D" w:rsidRDefault="00257F7D" w:rsidP="00FF10D0">
      <w:pPr>
        <w:autoSpaceDE w:val="0"/>
        <w:autoSpaceDN w:val="0"/>
        <w:adjustRightInd w:val="0"/>
        <w:spacing w:after="0" w:line="240" w:lineRule="auto"/>
        <w:ind w:firstLine="709"/>
        <w:jc w:val="both"/>
        <w:rPr>
          <w:szCs w:val="26"/>
        </w:rPr>
      </w:pPr>
      <w:bookmarkStart w:id="0" w:name="_GoBack"/>
      <w:bookmarkEnd w:id="0"/>
    </w:p>
    <w:p w:rsidR="000A70A6" w:rsidRPr="005D2EEB" w:rsidRDefault="000A70A6" w:rsidP="000A70A6">
      <w:pPr>
        <w:autoSpaceDE w:val="0"/>
        <w:autoSpaceDN w:val="0"/>
        <w:adjustRightInd w:val="0"/>
        <w:spacing w:after="0" w:line="240" w:lineRule="auto"/>
        <w:ind w:firstLine="709"/>
        <w:jc w:val="both"/>
        <w:rPr>
          <w:szCs w:val="26"/>
        </w:rPr>
      </w:pPr>
      <w:r w:rsidRPr="005D2EEB">
        <w:rPr>
          <w:szCs w:val="26"/>
        </w:rPr>
        <w:t>По итогам проверки</w:t>
      </w:r>
      <w:r>
        <w:rPr>
          <w:szCs w:val="26"/>
        </w:rPr>
        <w:t xml:space="preserve"> в отношении </w:t>
      </w:r>
      <w:r>
        <w:rPr>
          <w:szCs w:val="26"/>
        </w:rPr>
        <w:t>МКУ "УГХ г. Нарьян-Мара"</w:t>
      </w:r>
      <w:r w:rsidRPr="005D2EEB">
        <w:rPr>
          <w:szCs w:val="26"/>
        </w:rPr>
        <w:t xml:space="preserve">, контрольным органом </w:t>
      </w:r>
      <w:r>
        <w:rPr>
          <w:szCs w:val="26"/>
        </w:rPr>
        <w:t>выдано предписание</w:t>
      </w:r>
      <w:r w:rsidRPr="005D2EEB">
        <w:rPr>
          <w:szCs w:val="26"/>
        </w:rPr>
        <w:t xml:space="preserve">. </w:t>
      </w:r>
    </w:p>
    <w:p w:rsidR="00FF0AAE" w:rsidRPr="000A70A6" w:rsidRDefault="00FF0AAE" w:rsidP="000A70A6">
      <w:pPr>
        <w:autoSpaceDE w:val="0"/>
        <w:autoSpaceDN w:val="0"/>
        <w:adjustRightInd w:val="0"/>
        <w:spacing w:after="0" w:line="240" w:lineRule="auto"/>
        <w:ind w:firstLine="709"/>
        <w:jc w:val="both"/>
        <w:rPr>
          <w:b/>
        </w:rPr>
      </w:pPr>
    </w:p>
    <w:sectPr w:rsidR="00FF0AAE" w:rsidRPr="000A70A6" w:rsidSect="000A70A6">
      <w:pgSz w:w="11906" w:h="16838"/>
      <w:pgMar w:top="709"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5E" w:rsidRDefault="00A92D5E" w:rsidP="005146EF">
      <w:pPr>
        <w:spacing w:after="0" w:line="240" w:lineRule="auto"/>
      </w:pPr>
      <w:r>
        <w:separator/>
      </w:r>
    </w:p>
  </w:endnote>
  <w:endnote w:type="continuationSeparator" w:id="0">
    <w:p w:rsidR="00A92D5E" w:rsidRDefault="00A92D5E" w:rsidP="0051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5E" w:rsidRDefault="00A92D5E" w:rsidP="005146EF">
      <w:pPr>
        <w:spacing w:after="0" w:line="240" w:lineRule="auto"/>
      </w:pPr>
      <w:r>
        <w:separator/>
      </w:r>
    </w:p>
  </w:footnote>
  <w:footnote w:type="continuationSeparator" w:id="0">
    <w:p w:rsidR="00A92D5E" w:rsidRDefault="00A92D5E" w:rsidP="00514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12E40"/>
    <w:multiLevelType w:val="hybridMultilevel"/>
    <w:tmpl w:val="B7745FFA"/>
    <w:lvl w:ilvl="0" w:tplc="C406A6A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15:restartNumberingAfterBreak="0">
    <w:nsid w:val="408B6043"/>
    <w:multiLevelType w:val="hybridMultilevel"/>
    <w:tmpl w:val="496C0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E412F4"/>
    <w:multiLevelType w:val="multilevel"/>
    <w:tmpl w:val="825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732E0"/>
    <w:multiLevelType w:val="hybridMultilevel"/>
    <w:tmpl w:val="C44C4086"/>
    <w:lvl w:ilvl="0" w:tplc="A302F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2925A7"/>
    <w:multiLevelType w:val="hybridMultilevel"/>
    <w:tmpl w:val="71EA8216"/>
    <w:lvl w:ilvl="0" w:tplc="194E286E">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9021CB1"/>
    <w:multiLevelType w:val="hybridMultilevel"/>
    <w:tmpl w:val="7C3A4FFE"/>
    <w:lvl w:ilvl="0" w:tplc="B1604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F8"/>
    <w:rsid w:val="000048A5"/>
    <w:rsid w:val="00013D13"/>
    <w:rsid w:val="000254C2"/>
    <w:rsid w:val="0003304A"/>
    <w:rsid w:val="0006726C"/>
    <w:rsid w:val="00070097"/>
    <w:rsid w:val="00071EF9"/>
    <w:rsid w:val="000812D0"/>
    <w:rsid w:val="00094E5B"/>
    <w:rsid w:val="000A10BA"/>
    <w:rsid w:val="000A70A6"/>
    <w:rsid w:val="000C37A5"/>
    <w:rsid w:val="000E7694"/>
    <w:rsid w:val="000E7FF4"/>
    <w:rsid w:val="0010671B"/>
    <w:rsid w:val="0011021F"/>
    <w:rsid w:val="00114886"/>
    <w:rsid w:val="00143915"/>
    <w:rsid w:val="001518E2"/>
    <w:rsid w:val="00165D43"/>
    <w:rsid w:val="00181C89"/>
    <w:rsid w:val="00190761"/>
    <w:rsid w:val="001935A0"/>
    <w:rsid w:val="001952AB"/>
    <w:rsid w:val="001960D4"/>
    <w:rsid w:val="001B10FC"/>
    <w:rsid w:val="001B27E8"/>
    <w:rsid w:val="001B5FAB"/>
    <w:rsid w:val="001D248B"/>
    <w:rsid w:val="001E0F9F"/>
    <w:rsid w:val="001F68F4"/>
    <w:rsid w:val="002024C9"/>
    <w:rsid w:val="00204C44"/>
    <w:rsid w:val="0020752F"/>
    <w:rsid w:val="00207F2B"/>
    <w:rsid w:val="002112AF"/>
    <w:rsid w:val="00211A19"/>
    <w:rsid w:val="00217922"/>
    <w:rsid w:val="00220CE0"/>
    <w:rsid w:val="00251E72"/>
    <w:rsid w:val="0025347E"/>
    <w:rsid w:val="00257F7D"/>
    <w:rsid w:val="0026169C"/>
    <w:rsid w:val="00274018"/>
    <w:rsid w:val="002774D4"/>
    <w:rsid w:val="00293ECB"/>
    <w:rsid w:val="002A25A5"/>
    <w:rsid w:val="002A396B"/>
    <w:rsid w:val="002B2045"/>
    <w:rsid w:val="002C4527"/>
    <w:rsid w:val="002D542E"/>
    <w:rsid w:val="002E36F0"/>
    <w:rsid w:val="002E406F"/>
    <w:rsid w:val="002E71E5"/>
    <w:rsid w:val="002E7B5A"/>
    <w:rsid w:val="002F4C59"/>
    <w:rsid w:val="003111DA"/>
    <w:rsid w:val="0031316F"/>
    <w:rsid w:val="00317ADC"/>
    <w:rsid w:val="00323DC1"/>
    <w:rsid w:val="00324514"/>
    <w:rsid w:val="003324C2"/>
    <w:rsid w:val="00336A53"/>
    <w:rsid w:val="00350505"/>
    <w:rsid w:val="0035236A"/>
    <w:rsid w:val="00367A01"/>
    <w:rsid w:val="0038558D"/>
    <w:rsid w:val="003A4DC2"/>
    <w:rsid w:val="003C1B13"/>
    <w:rsid w:val="003C3801"/>
    <w:rsid w:val="003E555D"/>
    <w:rsid w:val="004127BF"/>
    <w:rsid w:val="0041393D"/>
    <w:rsid w:val="00415C3C"/>
    <w:rsid w:val="00443DCF"/>
    <w:rsid w:val="0045560B"/>
    <w:rsid w:val="00462EE4"/>
    <w:rsid w:val="00471AD6"/>
    <w:rsid w:val="0048258C"/>
    <w:rsid w:val="004E1953"/>
    <w:rsid w:val="004F0A60"/>
    <w:rsid w:val="004F4220"/>
    <w:rsid w:val="004F745F"/>
    <w:rsid w:val="00512CE4"/>
    <w:rsid w:val="005146EF"/>
    <w:rsid w:val="00517708"/>
    <w:rsid w:val="0051785A"/>
    <w:rsid w:val="00526616"/>
    <w:rsid w:val="0053211D"/>
    <w:rsid w:val="00536AA5"/>
    <w:rsid w:val="00550AE9"/>
    <w:rsid w:val="00560E4C"/>
    <w:rsid w:val="005628ED"/>
    <w:rsid w:val="00562C65"/>
    <w:rsid w:val="00563CA9"/>
    <w:rsid w:val="0056443D"/>
    <w:rsid w:val="005678D1"/>
    <w:rsid w:val="0057118E"/>
    <w:rsid w:val="00571223"/>
    <w:rsid w:val="005748AD"/>
    <w:rsid w:val="005A736E"/>
    <w:rsid w:val="005B6C4B"/>
    <w:rsid w:val="005D1E8B"/>
    <w:rsid w:val="005F6218"/>
    <w:rsid w:val="0060419A"/>
    <w:rsid w:val="00614194"/>
    <w:rsid w:val="00631894"/>
    <w:rsid w:val="00642BAD"/>
    <w:rsid w:val="006524CB"/>
    <w:rsid w:val="0065288E"/>
    <w:rsid w:val="00653593"/>
    <w:rsid w:val="00662511"/>
    <w:rsid w:val="0067298D"/>
    <w:rsid w:val="00676700"/>
    <w:rsid w:val="00676871"/>
    <w:rsid w:val="00683D9B"/>
    <w:rsid w:val="00695BE3"/>
    <w:rsid w:val="006B5A07"/>
    <w:rsid w:val="006B5B1E"/>
    <w:rsid w:val="006C6ED0"/>
    <w:rsid w:val="006E308D"/>
    <w:rsid w:val="007015E2"/>
    <w:rsid w:val="0071189B"/>
    <w:rsid w:val="007506B2"/>
    <w:rsid w:val="00755B73"/>
    <w:rsid w:val="00774D45"/>
    <w:rsid w:val="00777643"/>
    <w:rsid w:val="00790B0C"/>
    <w:rsid w:val="00794ED5"/>
    <w:rsid w:val="00795F2C"/>
    <w:rsid w:val="007A0367"/>
    <w:rsid w:val="007A22F1"/>
    <w:rsid w:val="007B2CB1"/>
    <w:rsid w:val="007B4077"/>
    <w:rsid w:val="007B533A"/>
    <w:rsid w:val="007D421D"/>
    <w:rsid w:val="007E017A"/>
    <w:rsid w:val="007E0E3F"/>
    <w:rsid w:val="00812DE7"/>
    <w:rsid w:val="0082024A"/>
    <w:rsid w:val="0084491A"/>
    <w:rsid w:val="00847E72"/>
    <w:rsid w:val="0085307F"/>
    <w:rsid w:val="008604E8"/>
    <w:rsid w:val="0087247A"/>
    <w:rsid w:val="008751E4"/>
    <w:rsid w:val="00884173"/>
    <w:rsid w:val="00887582"/>
    <w:rsid w:val="008B222D"/>
    <w:rsid w:val="008B23E5"/>
    <w:rsid w:val="008B3536"/>
    <w:rsid w:val="008B3A43"/>
    <w:rsid w:val="008B7C60"/>
    <w:rsid w:val="008C06EB"/>
    <w:rsid w:val="008C20CD"/>
    <w:rsid w:val="008D09FE"/>
    <w:rsid w:val="008E373D"/>
    <w:rsid w:val="00903BC8"/>
    <w:rsid w:val="009060D4"/>
    <w:rsid w:val="0090674D"/>
    <w:rsid w:val="0091749F"/>
    <w:rsid w:val="0094692D"/>
    <w:rsid w:val="00952242"/>
    <w:rsid w:val="00957005"/>
    <w:rsid w:val="009919FB"/>
    <w:rsid w:val="009974FF"/>
    <w:rsid w:val="009A1CA1"/>
    <w:rsid w:val="009D7148"/>
    <w:rsid w:val="009E3E83"/>
    <w:rsid w:val="009F15C6"/>
    <w:rsid w:val="009F416A"/>
    <w:rsid w:val="009F44DD"/>
    <w:rsid w:val="009F52A7"/>
    <w:rsid w:val="00A05CF0"/>
    <w:rsid w:val="00A20DCB"/>
    <w:rsid w:val="00A21BAC"/>
    <w:rsid w:val="00A237F9"/>
    <w:rsid w:val="00A25504"/>
    <w:rsid w:val="00A316DB"/>
    <w:rsid w:val="00A33E90"/>
    <w:rsid w:val="00A44408"/>
    <w:rsid w:val="00A459A2"/>
    <w:rsid w:val="00A46415"/>
    <w:rsid w:val="00A550CC"/>
    <w:rsid w:val="00A61820"/>
    <w:rsid w:val="00A62CBD"/>
    <w:rsid w:val="00A702DA"/>
    <w:rsid w:val="00A74303"/>
    <w:rsid w:val="00A7741B"/>
    <w:rsid w:val="00A86513"/>
    <w:rsid w:val="00A87562"/>
    <w:rsid w:val="00A92D5E"/>
    <w:rsid w:val="00AB3F9D"/>
    <w:rsid w:val="00AC2119"/>
    <w:rsid w:val="00AE1282"/>
    <w:rsid w:val="00AE2757"/>
    <w:rsid w:val="00AE3017"/>
    <w:rsid w:val="00AF31FE"/>
    <w:rsid w:val="00B07BAF"/>
    <w:rsid w:val="00B15359"/>
    <w:rsid w:val="00B21DAC"/>
    <w:rsid w:val="00B346F0"/>
    <w:rsid w:val="00B374F5"/>
    <w:rsid w:val="00B47673"/>
    <w:rsid w:val="00B5262C"/>
    <w:rsid w:val="00BB1A06"/>
    <w:rsid w:val="00BC189B"/>
    <w:rsid w:val="00BD54CE"/>
    <w:rsid w:val="00BE2EEA"/>
    <w:rsid w:val="00BE50FB"/>
    <w:rsid w:val="00BF22C3"/>
    <w:rsid w:val="00BF3F3B"/>
    <w:rsid w:val="00C00F71"/>
    <w:rsid w:val="00C0185E"/>
    <w:rsid w:val="00C01B1F"/>
    <w:rsid w:val="00C07B74"/>
    <w:rsid w:val="00C2467D"/>
    <w:rsid w:val="00C55602"/>
    <w:rsid w:val="00C65DD9"/>
    <w:rsid w:val="00C9393E"/>
    <w:rsid w:val="00CA265A"/>
    <w:rsid w:val="00CA5B87"/>
    <w:rsid w:val="00CA77B0"/>
    <w:rsid w:val="00CA7A11"/>
    <w:rsid w:val="00CC4444"/>
    <w:rsid w:val="00CC4C70"/>
    <w:rsid w:val="00CD1DA7"/>
    <w:rsid w:val="00CD5F13"/>
    <w:rsid w:val="00CD7511"/>
    <w:rsid w:val="00CE1A34"/>
    <w:rsid w:val="00CE2519"/>
    <w:rsid w:val="00CE3A90"/>
    <w:rsid w:val="00CE4F21"/>
    <w:rsid w:val="00CF2850"/>
    <w:rsid w:val="00D02F77"/>
    <w:rsid w:val="00D05E8E"/>
    <w:rsid w:val="00D12D10"/>
    <w:rsid w:val="00D15C1D"/>
    <w:rsid w:val="00D30F44"/>
    <w:rsid w:val="00D40015"/>
    <w:rsid w:val="00D4232B"/>
    <w:rsid w:val="00D4292F"/>
    <w:rsid w:val="00D508CE"/>
    <w:rsid w:val="00D55407"/>
    <w:rsid w:val="00D557E1"/>
    <w:rsid w:val="00D62902"/>
    <w:rsid w:val="00D633F1"/>
    <w:rsid w:val="00D63F38"/>
    <w:rsid w:val="00D85AF8"/>
    <w:rsid w:val="00D87DD9"/>
    <w:rsid w:val="00D941F5"/>
    <w:rsid w:val="00DA06AB"/>
    <w:rsid w:val="00DC5E14"/>
    <w:rsid w:val="00DD0244"/>
    <w:rsid w:val="00DD1704"/>
    <w:rsid w:val="00DE3A7F"/>
    <w:rsid w:val="00DF1BB8"/>
    <w:rsid w:val="00DF3470"/>
    <w:rsid w:val="00E068DB"/>
    <w:rsid w:val="00E06C88"/>
    <w:rsid w:val="00E14FEC"/>
    <w:rsid w:val="00E177F8"/>
    <w:rsid w:val="00E209D1"/>
    <w:rsid w:val="00E25AB0"/>
    <w:rsid w:val="00E365BF"/>
    <w:rsid w:val="00E50DFA"/>
    <w:rsid w:val="00E50E34"/>
    <w:rsid w:val="00E617DE"/>
    <w:rsid w:val="00E61C85"/>
    <w:rsid w:val="00E62B1D"/>
    <w:rsid w:val="00E75DE6"/>
    <w:rsid w:val="00E80507"/>
    <w:rsid w:val="00EB5311"/>
    <w:rsid w:val="00EC7627"/>
    <w:rsid w:val="00EE070B"/>
    <w:rsid w:val="00EE17D8"/>
    <w:rsid w:val="00EE7650"/>
    <w:rsid w:val="00EF1651"/>
    <w:rsid w:val="00EF5CD4"/>
    <w:rsid w:val="00EF5EB0"/>
    <w:rsid w:val="00F06122"/>
    <w:rsid w:val="00F313F9"/>
    <w:rsid w:val="00F369F8"/>
    <w:rsid w:val="00F63F4C"/>
    <w:rsid w:val="00F64963"/>
    <w:rsid w:val="00F65296"/>
    <w:rsid w:val="00F81CE1"/>
    <w:rsid w:val="00F8586C"/>
    <w:rsid w:val="00F867DF"/>
    <w:rsid w:val="00FC2E32"/>
    <w:rsid w:val="00FC600F"/>
    <w:rsid w:val="00FD3DBE"/>
    <w:rsid w:val="00FE13E0"/>
    <w:rsid w:val="00FF0AAE"/>
    <w:rsid w:val="00FF10D0"/>
    <w:rsid w:val="00FF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CDA0F0-B98B-415B-94E8-430696A7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0D4"/>
  </w:style>
  <w:style w:type="paragraph" w:styleId="2">
    <w:name w:val="heading 2"/>
    <w:basedOn w:val="a"/>
    <w:next w:val="a"/>
    <w:link w:val="20"/>
    <w:qFormat/>
    <w:rsid w:val="00571223"/>
    <w:pPr>
      <w:keepNext/>
      <w:spacing w:after="0" w:line="240" w:lineRule="auto"/>
      <w:outlineLvl w:val="1"/>
    </w:pPr>
    <w:rPr>
      <w:rFonts w:eastAsia="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1223"/>
    <w:rPr>
      <w:rFonts w:eastAsia="Times New Roman"/>
      <w:b/>
      <w:sz w:val="20"/>
      <w:szCs w:val="20"/>
      <w:lang w:eastAsia="ru-RU"/>
    </w:rPr>
  </w:style>
  <w:style w:type="paragraph" w:customStyle="1" w:styleId="ConsPlusNonformat">
    <w:name w:val="ConsPlusNonformat"/>
    <w:rsid w:val="00F369F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F3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60D4"/>
    <w:pPr>
      <w:ind w:left="720"/>
      <w:contextualSpacing/>
    </w:pPr>
    <w:rPr>
      <w:rFonts w:asciiTheme="minorHAnsi" w:eastAsiaTheme="minorEastAsia" w:hAnsiTheme="minorHAnsi" w:cstheme="minorBidi"/>
      <w:sz w:val="22"/>
      <w:lang w:eastAsia="ru-RU"/>
    </w:rPr>
  </w:style>
  <w:style w:type="paragraph" w:customStyle="1" w:styleId="western">
    <w:name w:val="western"/>
    <w:basedOn w:val="a"/>
    <w:rsid w:val="002A396B"/>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A87562"/>
    <w:rPr>
      <w:b/>
      <w:bCs/>
    </w:rPr>
  </w:style>
  <w:style w:type="paragraph" w:styleId="a6">
    <w:name w:val="header"/>
    <w:basedOn w:val="a"/>
    <w:link w:val="a7"/>
    <w:uiPriority w:val="99"/>
    <w:unhideWhenUsed/>
    <w:rsid w:val="005146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46EF"/>
  </w:style>
  <w:style w:type="paragraph" w:styleId="a8">
    <w:name w:val="footer"/>
    <w:basedOn w:val="a"/>
    <w:link w:val="a9"/>
    <w:uiPriority w:val="99"/>
    <w:unhideWhenUsed/>
    <w:rsid w:val="005146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46EF"/>
  </w:style>
  <w:style w:type="paragraph" w:styleId="aa">
    <w:name w:val="footnote text"/>
    <w:basedOn w:val="a"/>
    <w:link w:val="ab"/>
    <w:uiPriority w:val="99"/>
    <w:semiHidden/>
    <w:unhideWhenUsed/>
    <w:rsid w:val="00BB1A06"/>
    <w:pPr>
      <w:spacing w:after="0" w:line="240" w:lineRule="auto"/>
    </w:pPr>
    <w:rPr>
      <w:sz w:val="20"/>
      <w:szCs w:val="20"/>
    </w:rPr>
  </w:style>
  <w:style w:type="character" w:customStyle="1" w:styleId="ab">
    <w:name w:val="Текст сноски Знак"/>
    <w:basedOn w:val="a0"/>
    <w:link w:val="aa"/>
    <w:uiPriority w:val="99"/>
    <w:semiHidden/>
    <w:rsid w:val="00BB1A06"/>
    <w:rPr>
      <w:sz w:val="20"/>
      <w:szCs w:val="20"/>
    </w:rPr>
  </w:style>
  <w:style w:type="character" w:styleId="ac">
    <w:name w:val="Hyperlink"/>
    <w:basedOn w:val="a0"/>
    <w:uiPriority w:val="99"/>
    <w:unhideWhenUsed/>
    <w:rsid w:val="00E209D1"/>
    <w:rPr>
      <w:color w:val="0000FF"/>
      <w:u w:val="single"/>
    </w:rPr>
  </w:style>
  <w:style w:type="paragraph" w:styleId="ad">
    <w:name w:val="Normal (Web)"/>
    <w:basedOn w:val="a"/>
    <w:uiPriority w:val="99"/>
    <w:unhideWhenUsed/>
    <w:rsid w:val="00E209D1"/>
    <w:pPr>
      <w:spacing w:before="100" w:beforeAutospacing="1" w:after="100" w:afterAutospacing="1" w:line="240" w:lineRule="auto"/>
    </w:pPr>
    <w:rPr>
      <w:rFonts w:eastAsia="Times New Roman"/>
      <w:sz w:val="24"/>
      <w:szCs w:val="24"/>
      <w:lang w:eastAsia="ru-RU"/>
    </w:rPr>
  </w:style>
  <w:style w:type="character" w:customStyle="1" w:styleId="ae">
    <w:name w:val="Текст примечания Знак"/>
    <w:basedOn w:val="a0"/>
    <w:link w:val="af"/>
    <w:uiPriority w:val="99"/>
    <w:semiHidden/>
    <w:rsid w:val="00E209D1"/>
    <w:rPr>
      <w:sz w:val="20"/>
      <w:szCs w:val="20"/>
      <w:lang w:val="en-US" w:bidi="en-US"/>
    </w:rPr>
  </w:style>
  <w:style w:type="paragraph" w:styleId="af">
    <w:name w:val="annotation text"/>
    <w:basedOn w:val="a"/>
    <w:link w:val="ae"/>
    <w:uiPriority w:val="99"/>
    <w:semiHidden/>
    <w:unhideWhenUsed/>
    <w:rsid w:val="00E209D1"/>
    <w:pPr>
      <w:spacing w:after="0" w:line="240" w:lineRule="auto"/>
      <w:ind w:firstLine="360"/>
    </w:pPr>
    <w:rPr>
      <w:sz w:val="20"/>
      <w:szCs w:val="20"/>
      <w:lang w:val="en-US" w:bidi="en-US"/>
    </w:rPr>
  </w:style>
  <w:style w:type="character" w:customStyle="1" w:styleId="af0">
    <w:name w:val="Текст выноски Знак"/>
    <w:basedOn w:val="a0"/>
    <w:link w:val="af1"/>
    <w:uiPriority w:val="99"/>
    <w:semiHidden/>
    <w:rsid w:val="00E209D1"/>
    <w:rPr>
      <w:rFonts w:ascii="Segoe UI" w:eastAsia="Calibri" w:hAnsi="Segoe UI" w:cs="Segoe UI"/>
      <w:sz w:val="18"/>
      <w:szCs w:val="18"/>
    </w:rPr>
  </w:style>
  <w:style w:type="paragraph" w:styleId="af1">
    <w:name w:val="Balloon Text"/>
    <w:basedOn w:val="a"/>
    <w:link w:val="af0"/>
    <w:uiPriority w:val="99"/>
    <w:semiHidden/>
    <w:unhideWhenUsed/>
    <w:rsid w:val="00E209D1"/>
    <w:pPr>
      <w:spacing w:after="0" w:line="240" w:lineRule="auto"/>
    </w:pPr>
    <w:rPr>
      <w:rFonts w:ascii="Segoe UI" w:eastAsia="Calibri" w:hAnsi="Segoe UI" w:cs="Segoe UI"/>
      <w:sz w:val="18"/>
      <w:szCs w:val="18"/>
    </w:rPr>
  </w:style>
  <w:style w:type="character" w:customStyle="1" w:styleId="af2">
    <w:name w:val="Тема примечания Знак"/>
    <w:basedOn w:val="ae"/>
    <w:link w:val="af3"/>
    <w:uiPriority w:val="99"/>
    <w:semiHidden/>
    <w:rsid w:val="00E209D1"/>
    <w:rPr>
      <w:rFonts w:eastAsia="Calibri"/>
      <w:b/>
      <w:bCs/>
      <w:sz w:val="20"/>
      <w:szCs w:val="20"/>
      <w:lang w:val="en-US" w:bidi="en-US"/>
    </w:rPr>
  </w:style>
  <w:style w:type="paragraph" w:styleId="af3">
    <w:name w:val="annotation subject"/>
    <w:basedOn w:val="af"/>
    <w:next w:val="af"/>
    <w:link w:val="af2"/>
    <w:uiPriority w:val="99"/>
    <w:semiHidden/>
    <w:unhideWhenUsed/>
    <w:rsid w:val="00E209D1"/>
    <w:pPr>
      <w:spacing w:after="200"/>
      <w:ind w:firstLine="0"/>
    </w:pPr>
    <w:rPr>
      <w:rFonts w:eastAsia="Calibri"/>
      <w:b/>
      <w:bCs/>
      <w:lang w:val="ru-RU" w:bidi="ar-SA"/>
    </w:rPr>
  </w:style>
  <w:style w:type="paragraph" w:customStyle="1" w:styleId="ConsPlusNormal">
    <w:name w:val="ConsPlusNormal"/>
    <w:link w:val="ConsPlusNormal0"/>
    <w:rsid w:val="00E209D1"/>
    <w:pPr>
      <w:autoSpaceDE w:val="0"/>
      <w:autoSpaceDN w:val="0"/>
      <w:adjustRightInd w:val="0"/>
      <w:spacing w:after="0" w:line="240" w:lineRule="auto"/>
    </w:pPr>
    <w:rPr>
      <w:rFonts w:eastAsia="Calibri"/>
      <w:szCs w:val="26"/>
      <w:lang w:eastAsia="ru-RU"/>
    </w:rPr>
  </w:style>
  <w:style w:type="character" w:customStyle="1" w:styleId="fill">
    <w:name w:val="fill"/>
    <w:rsid w:val="00E209D1"/>
    <w:rPr>
      <w:b/>
      <w:bCs/>
      <w:i/>
      <w:iCs/>
      <w:color w:val="FF0000"/>
    </w:rPr>
  </w:style>
  <w:style w:type="character" w:customStyle="1" w:styleId="ConsPlusNormal0">
    <w:name w:val="ConsPlusNormal Знак"/>
    <w:basedOn w:val="a0"/>
    <w:link w:val="ConsPlusNormal"/>
    <w:locked/>
    <w:rsid w:val="00DC5E14"/>
    <w:rPr>
      <w:rFonts w:eastAsia="Calibri"/>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673648">
      <w:bodyDiv w:val="1"/>
      <w:marLeft w:val="0"/>
      <w:marRight w:val="0"/>
      <w:marTop w:val="0"/>
      <w:marBottom w:val="0"/>
      <w:divBdr>
        <w:top w:val="none" w:sz="0" w:space="0" w:color="auto"/>
        <w:left w:val="none" w:sz="0" w:space="0" w:color="auto"/>
        <w:bottom w:val="none" w:sz="0" w:space="0" w:color="auto"/>
        <w:right w:val="none" w:sz="0" w:space="0" w:color="auto"/>
      </w:divBdr>
    </w:div>
    <w:div w:id="16650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B509AD901C37433C22BE8E9D9D104B1D1FCC94DA45B7A594695DDD68E5EE7771F67774F267AFBMB5EH" TargetMode="External"/><Relationship Id="rId13" Type="http://schemas.openxmlformats.org/officeDocument/2006/relationships/hyperlink" Target="consultantplus://offline/ref=CEE5CE1452D76C189104B12E31425DEF73B017F4380334EB6D84F83903BA9EC50CF5808AB38CC4SE0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96AEB569FD5C1F4896301E3435692943EB2C8E6061D6D6779CD8E7B63CA7668BD55664F373842Fn6p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4E1E61894573252CF370797D186F5E18887C0686118AFC09907A41F0zFn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E1FC20FDDA87DF579312C6E3D20DB862E698B93AE0BF9BAE3350BA4E7F71089E155592242BAD1G3N5K" TargetMode="External"/><Relationship Id="rId4" Type="http://schemas.openxmlformats.org/officeDocument/2006/relationships/settings" Target="settings.xml"/><Relationship Id="rId9" Type="http://schemas.openxmlformats.org/officeDocument/2006/relationships/hyperlink" Target="consultantplus://offline/ref=E47B509AD901C37433C22BE8E9D9D104B1D1FCC94DA45B7A594695DDD68E5EE7771F67774F2775FFMB5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F70D7-716A-47C8-B178-5E6A5C88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1000</Words>
  <Characters>5705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dc:creator>
  <cp:keywords/>
  <dc:description/>
  <cp:lastModifiedBy>finkon2</cp:lastModifiedBy>
  <cp:revision>2</cp:revision>
  <cp:lastPrinted>2017-09-06T05:32:00Z</cp:lastPrinted>
  <dcterms:created xsi:type="dcterms:W3CDTF">2019-01-11T14:12:00Z</dcterms:created>
  <dcterms:modified xsi:type="dcterms:W3CDTF">2019-01-14T14:55:00Z</dcterms:modified>
</cp:coreProperties>
</file>