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68" w:rsidRPr="00311633" w:rsidRDefault="00E61F9A" w:rsidP="003D5C30">
      <w:pPr>
        <w:spacing w:before="0"/>
        <w:ind w:left="0"/>
        <w:rPr>
          <w:rFonts w:ascii="Times New Roman" w:hAnsi="Times New Roman" w:cs="Times New Roman"/>
          <w:b/>
          <w:sz w:val="24"/>
          <w:szCs w:val="24"/>
        </w:rPr>
      </w:pPr>
      <w:r w:rsidRPr="00311633">
        <w:rPr>
          <w:rFonts w:ascii="Times New Roman" w:hAnsi="Times New Roman" w:cs="Times New Roman"/>
          <w:b/>
          <w:sz w:val="24"/>
          <w:szCs w:val="24"/>
        </w:rPr>
        <w:t xml:space="preserve">Сводка предложений </w:t>
      </w:r>
    </w:p>
    <w:p w:rsidR="003D5C30" w:rsidRPr="00311633" w:rsidRDefault="00E61F9A" w:rsidP="003D5C30">
      <w:pPr>
        <w:pStyle w:val="ConsPlusNonformat"/>
        <w:ind w:right="-143"/>
        <w:jc w:val="center"/>
        <w:rPr>
          <w:rFonts w:ascii="Times New Roman" w:hAnsi="Times New Roman" w:cs="Times New Roman"/>
          <w:b/>
          <w:sz w:val="24"/>
          <w:szCs w:val="24"/>
        </w:rPr>
      </w:pPr>
      <w:r w:rsidRPr="00311633">
        <w:rPr>
          <w:rFonts w:ascii="Times New Roman" w:hAnsi="Times New Roman" w:cs="Times New Roman"/>
          <w:b/>
          <w:sz w:val="24"/>
          <w:szCs w:val="24"/>
        </w:rPr>
        <w:t xml:space="preserve">к проекту </w:t>
      </w:r>
      <w:r w:rsidR="00922A15" w:rsidRPr="00311633">
        <w:rPr>
          <w:rFonts w:ascii="Times New Roman" w:hAnsi="Times New Roman" w:cs="Times New Roman"/>
          <w:b/>
          <w:sz w:val="24"/>
          <w:szCs w:val="24"/>
        </w:rPr>
        <w:t>постановления Администрации МО "Городской округ "Город Нарьян-Мар"</w:t>
      </w:r>
    </w:p>
    <w:p w:rsidR="00481A08" w:rsidRPr="00311633" w:rsidRDefault="00922A15" w:rsidP="00D53D25">
      <w:pPr>
        <w:pStyle w:val="ConsPlusNonformat"/>
        <w:ind w:right="-143"/>
        <w:jc w:val="center"/>
        <w:rPr>
          <w:rFonts w:ascii="Times New Roman" w:hAnsi="Times New Roman" w:cs="Times New Roman"/>
          <w:b/>
          <w:sz w:val="24"/>
          <w:szCs w:val="24"/>
        </w:rPr>
      </w:pPr>
      <w:r w:rsidRPr="00311633">
        <w:rPr>
          <w:rFonts w:ascii="Times New Roman" w:hAnsi="Times New Roman" w:cs="Times New Roman"/>
          <w:b/>
          <w:sz w:val="24"/>
          <w:szCs w:val="24"/>
        </w:rPr>
        <w:t>"</w:t>
      </w:r>
      <w:r w:rsidR="0061243A" w:rsidRPr="0061243A">
        <w:rPr>
          <w:rFonts w:ascii="Times New Roman" w:hAnsi="Times New Roman" w:cs="Times New Roman"/>
          <w:b/>
          <w:sz w:val="24"/>
          <w:szCs w:val="24"/>
        </w:rPr>
        <w:t>Постановление Администрации МО "Городской округ "Город Нарьян-Мар" "</w:t>
      </w:r>
      <w:r w:rsidR="0061243A" w:rsidRPr="0061243A">
        <w:rPr>
          <w:rFonts w:ascii="Times New Roman" w:hAnsi="Times New Roman" w:cs="Times New Roman"/>
          <w:b/>
          <w:color w:val="000000"/>
          <w:sz w:val="24"/>
          <w:szCs w:val="24"/>
        </w:rPr>
        <w:t>Об утверждении требований к</w:t>
      </w:r>
      <w:r w:rsidR="0061243A" w:rsidRPr="0061243A">
        <w:rPr>
          <w:rFonts w:ascii="Times New Roman" w:hAnsi="Times New Roman" w:cs="Times New Roman"/>
          <w:b/>
          <w:sz w:val="24"/>
          <w:szCs w:val="24"/>
        </w:rPr>
        <w:t xml:space="preserve"> павильонам, размещаемым на территории МО "Городской округ "Город Нарьян-Мар</w:t>
      </w:r>
      <w:r w:rsidRPr="00311633">
        <w:rPr>
          <w:rFonts w:ascii="Times New Roman" w:hAnsi="Times New Roman" w:cs="Times New Roman"/>
          <w:b/>
          <w:sz w:val="24"/>
          <w:szCs w:val="24"/>
        </w:rPr>
        <w:t>"</w:t>
      </w:r>
    </w:p>
    <w:p w:rsidR="00922A15" w:rsidRPr="00311633" w:rsidRDefault="00922A15" w:rsidP="00C53086">
      <w:pPr>
        <w:spacing w:before="0"/>
        <w:rPr>
          <w:rFonts w:ascii="Times New Roman" w:eastAsia="Calibri" w:hAnsi="Times New Roman" w:cs="Times New Roman"/>
          <w:sz w:val="24"/>
          <w:szCs w:val="24"/>
        </w:rPr>
      </w:pPr>
    </w:p>
    <w:p w:rsidR="00E61F9A" w:rsidRPr="00311633" w:rsidRDefault="00E61F9A" w:rsidP="00044711">
      <w:pPr>
        <w:pStyle w:val="ConsPlusNonformat"/>
        <w:ind w:firstLine="709"/>
        <w:jc w:val="both"/>
        <w:rPr>
          <w:rFonts w:ascii="Times New Roman" w:eastAsia="Calibri" w:hAnsi="Times New Roman" w:cs="Times New Roman"/>
          <w:sz w:val="24"/>
          <w:szCs w:val="24"/>
        </w:rPr>
      </w:pPr>
      <w:proofErr w:type="gramStart"/>
      <w:r w:rsidRPr="00311633">
        <w:rPr>
          <w:rFonts w:ascii="Times New Roman" w:hAnsi="Times New Roman" w:cs="Times New Roman"/>
          <w:sz w:val="24"/>
          <w:szCs w:val="24"/>
        </w:rPr>
        <w:t>В соответствии с раздело</w:t>
      </w:r>
      <w:r w:rsidR="00E118AB" w:rsidRPr="00311633">
        <w:rPr>
          <w:rFonts w:ascii="Times New Roman" w:hAnsi="Times New Roman" w:cs="Times New Roman"/>
          <w:sz w:val="24"/>
          <w:szCs w:val="24"/>
        </w:rPr>
        <w:t>м</w:t>
      </w:r>
      <w:r w:rsidRPr="00311633">
        <w:rPr>
          <w:rFonts w:ascii="Times New Roman" w:hAnsi="Times New Roman" w:cs="Times New Roman"/>
          <w:sz w:val="24"/>
          <w:szCs w:val="24"/>
        </w:rPr>
        <w:t xml:space="preserve"> 3 Положения о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утвержденного постановлением Администрации МО "Городской округ "Город Нарьян-Мар" от 26.12.2014 №</w:t>
      </w:r>
      <w:r w:rsidR="0061243A">
        <w:rPr>
          <w:rFonts w:ascii="Times New Roman" w:hAnsi="Times New Roman" w:cs="Times New Roman"/>
          <w:sz w:val="24"/>
          <w:szCs w:val="24"/>
        </w:rPr>
        <w:t> </w:t>
      </w:r>
      <w:r w:rsidRPr="00311633">
        <w:rPr>
          <w:rFonts w:ascii="Times New Roman" w:hAnsi="Times New Roman" w:cs="Times New Roman"/>
          <w:sz w:val="24"/>
          <w:szCs w:val="24"/>
        </w:rPr>
        <w:t>3354</w:t>
      </w:r>
      <w:r w:rsidR="00E118AB" w:rsidRPr="00311633">
        <w:rPr>
          <w:rFonts w:ascii="Times New Roman" w:hAnsi="Times New Roman" w:cs="Times New Roman"/>
          <w:sz w:val="24"/>
          <w:szCs w:val="24"/>
        </w:rPr>
        <w:t>,</w:t>
      </w:r>
      <w:r w:rsidRPr="00311633">
        <w:rPr>
          <w:rFonts w:ascii="Times New Roman" w:hAnsi="Times New Roman" w:cs="Times New Roman"/>
          <w:sz w:val="24"/>
          <w:szCs w:val="24"/>
        </w:rPr>
        <w:t xml:space="preserve"> </w:t>
      </w:r>
      <w:r w:rsidR="008D21D0" w:rsidRPr="00311633">
        <w:rPr>
          <w:rFonts w:ascii="Times New Roman" w:hAnsi="Times New Roman" w:cs="Times New Roman"/>
          <w:sz w:val="24"/>
          <w:szCs w:val="24"/>
        </w:rPr>
        <w:t>у</w:t>
      </w:r>
      <w:r w:rsidRPr="00311633">
        <w:rPr>
          <w:rFonts w:ascii="Times New Roman" w:hAnsi="Times New Roman" w:cs="Times New Roman"/>
          <w:sz w:val="24"/>
          <w:szCs w:val="24"/>
        </w:rPr>
        <w:t>правлением экономического и инвестиционного развития Администрации МО "Городской округ "Город Нарьян-Мар" проведены публичные консультации по</w:t>
      </w:r>
      <w:proofErr w:type="gramEnd"/>
      <w:r w:rsidRPr="00311633">
        <w:rPr>
          <w:rFonts w:ascii="Times New Roman" w:hAnsi="Times New Roman" w:cs="Times New Roman"/>
          <w:sz w:val="24"/>
          <w:szCs w:val="24"/>
        </w:rPr>
        <w:t xml:space="preserve"> проекту </w:t>
      </w:r>
      <w:r w:rsidR="00643040" w:rsidRPr="00311633">
        <w:rPr>
          <w:rFonts w:ascii="Times New Roman" w:hAnsi="Times New Roman" w:cs="Times New Roman"/>
          <w:sz w:val="24"/>
          <w:szCs w:val="24"/>
        </w:rPr>
        <w:t>постановления Администрации МО</w:t>
      </w:r>
      <w:r w:rsidR="003D5C30" w:rsidRPr="00311633">
        <w:rPr>
          <w:rFonts w:ascii="Times New Roman" w:hAnsi="Times New Roman" w:cs="Times New Roman"/>
          <w:sz w:val="24"/>
          <w:szCs w:val="24"/>
        </w:rPr>
        <w:t> </w:t>
      </w:r>
      <w:r w:rsidR="00643040" w:rsidRPr="00311633">
        <w:rPr>
          <w:rFonts w:ascii="Times New Roman" w:hAnsi="Times New Roman" w:cs="Times New Roman"/>
          <w:sz w:val="24"/>
          <w:szCs w:val="24"/>
        </w:rPr>
        <w:t>Городской округ "Город Нарьян-Мар" "</w:t>
      </w:r>
      <w:r w:rsidR="0061243A" w:rsidRPr="0061243A">
        <w:rPr>
          <w:rFonts w:ascii="Times New Roman" w:hAnsi="Times New Roman" w:cs="Times New Roman"/>
          <w:sz w:val="24"/>
          <w:szCs w:val="24"/>
        </w:rPr>
        <w:t>Постановление Администрации МО "Городской округ "Город Нарьян-Мар" "</w:t>
      </w:r>
      <w:r w:rsidR="0061243A" w:rsidRPr="0061243A">
        <w:rPr>
          <w:rFonts w:ascii="Times New Roman" w:hAnsi="Times New Roman" w:cs="Times New Roman"/>
          <w:color w:val="000000"/>
          <w:sz w:val="24"/>
          <w:szCs w:val="24"/>
        </w:rPr>
        <w:t>Об утверждении требований к</w:t>
      </w:r>
      <w:r w:rsidR="0061243A" w:rsidRPr="0061243A">
        <w:rPr>
          <w:rFonts w:ascii="Times New Roman" w:hAnsi="Times New Roman" w:cs="Times New Roman"/>
          <w:sz w:val="24"/>
          <w:szCs w:val="24"/>
        </w:rPr>
        <w:t xml:space="preserve"> павильонам, размещаемым на территории МО "Городской округ "Город Нарьян-Мар"</w:t>
      </w:r>
      <w:r w:rsidRPr="00311633">
        <w:rPr>
          <w:rFonts w:ascii="Times New Roman" w:eastAsia="Calibri" w:hAnsi="Times New Roman" w:cs="Times New Roman"/>
          <w:sz w:val="24"/>
          <w:szCs w:val="24"/>
        </w:rPr>
        <w:t xml:space="preserve"> (далее – проект постановления).</w:t>
      </w:r>
    </w:p>
    <w:p w:rsidR="00643040" w:rsidRPr="00311633" w:rsidRDefault="00E61F9A" w:rsidP="00E77C8E">
      <w:pPr>
        <w:pStyle w:val="ConsPlusNonformat"/>
        <w:ind w:right="-1" w:firstLine="709"/>
        <w:jc w:val="both"/>
        <w:rPr>
          <w:rFonts w:ascii="Times New Roman" w:hAnsi="Times New Roman" w:cs="Times New Roman"/>
          <w:sz w:val="24"/>
          <w:szCs w:val="24"/>
        </w:rPr>
      </w:pPr>
      <w:r w:rsidRPr="00311633">
        <w:rPr>
          <w:rFonts w:ascii="Times New Roman" w:hAnsi="Times New Roman" w:cs="Times New Roman"/>
          <w:sz w:val="24"/>
          <w:szCs w:val="24"/>
        </w:rPr>
        <w:t xml:space="preserve">Разработчиком проекта постановления является </w:t>
      </w:r>
      <w:r w:rsidR="00643040" w:rsidRPr="00311633">
        <w:rPr>
          <w:rFonts w:ascii="Times New Roman" w:hAnsi="Times New Roman" w:cs="Times New Roman"/>
          <w:sz w:val="24"/>
          <w:szCs w:val="24"/>
        </w:rPr>
        <w:t xml:space="preserve">управление </w:t>
      </w:r>
      <w:r w:rsidR="00922A15" w:rsidRPr="00311633">
        <w:rPr>
          <w:rFonts w:ascii="Times New Roman" w:hAnsi="Times New Roman" w:cs="Times New Roman"/>
          <w:sz w:val="24"/>
          <w:szCs w:val="24"/>
        </w:rPr>
        <w:t>экономического и инвестиционного развития</w:t>
      </w:r>
      <w:r w:rsidR="00643040" w:rsidRPr="00311633">
        <w:rPr>
          <w:rFonts w:ascii="Times New Roman" w:hAnsi="Times New Roman" w:cs="Times New Roman"/>
          <w:sz w:val="24"/>
          <w:szCs w:val="24"/>
        </w:rPr>
        <w:t xml:space="preserve"> Администрации МО "Городской округ "Город Нарьян-Мар".</w:t>
      </w:r>
    </w:p>
    <w:p w:rsidR="008E6C75" w:rsidRPr="00311633" w:rsidRDefault="008E6C75" w:rsidP="008368BE">
      <w:pPr>
        <w:ind w:firstLine="595"/>
        <w:jc w:val="both"/>
        <w:rPr>
          <w:rFonts w:ascii="Times New Roman" w:eastAsia="Calibri" w:hAnsi="Times New Roman" w:cs="Times New Roman"/>
          <w:sz w:val="24"/>
          <w:szCs w:val="24"/>
        </w:rPr>
      </w:pPr>
      <w:r w:rsidRPr="00311633">
        <w:rPr>
          <w:rFonts w:ascii="Times New Roman" w:hAnsi="Times New Roman" w:cs="Times New Roman"/>
          <w:sz w:val="24"/>
          <w:szCs w:val="24"/>
        </w:rPr>
        <w:t>Уведомление о проведении публичных консультаций было размещено на официальном сайте Администрации МО "Городской округ "Город Нарьян-Мар" в раздел</w:t>
      </w:r>
      <w:r w:rsidR="00081F5B" w:rsidRPr="00311633">
        <w:rPr>
          <w:rFonts w:ascii="Times New Roman" w:hAnsi="Times New Roman" w:cs="Times New Roman"/>
          <w:sz w:val="24"/>
          <w:szCs w:val="24"/>
        </w:rPr>
        <w:t>е</w:t>
      </w:r>
      <w:r w:rsidRPr="00311633">
        <w:rPr>
          <w:rFonts w:ascii="Times New Roman" w:hAnsi="Times New Roman" w:cs="Times New Roman"/>
          <w:sz w:val="24"/>
          <w:szCs w:val="24"/>
        </w:rPr>
        <w:t xml:space="preserve"> Деятельность/Экономика/Оценка регулирующего воздействия</w:t>
      </w:r>
      <w:r w:rsidR="00081F5B" w:rsidRPr="00311633">
        <w:rPr>
          <w:rFonts w:ascii="Times New Roman" w:hAnsi="Times New Roman" w:cs="Times New Roman"/>
          <w:sz w:val="24"/>
          <w:szCs w:val="24"/>
        </w:rPr>
        <w:t xml:space="preserve"> и </w:t>
      </w:r>
      <w:r w:rsidR="0006643C" w:rsidRPr="00311633">
        <w:rPr>
          <w:rFonts w:ascii="Times New Roman" w:hAnsi="Times New Roman" w:cs="Times New Roman"/>
          <w:sz w:val="24"/>
          <w:szCs w:val="24"/>
        </w:rPr>
        <w:t xml:space="preserve">в </w:t>
      </w:r>
      <w:r w:rsidR="00081F5B" w:rsidRPr="00311633">
        <w:rPr>
          <w:rFonts w:ascii="Times New Roman" w:hAnsi="Times New Roman" w:cs="Times New Roman"/>
          <w:sz w:val="24"/>
          <w:szCs w:val="24"/>
        </w:rPr>
        <w:t>н</w:t>
      </w:r>
      <w:r w:rsidRPr="00311633">
        <w:rPr>
          <w:rFonts w:ascii="Times New Roman" w:hAnsi="Times New Roman" w:cs="Times New Roman"/>
          <w:sz w:val="24"/>
          <w:szCs w:val="24"/>
        </w:rPr>
        <w:t>овост</w:t>
      </w:r>
      <w:r w:rsidR="00081F5B" w:rsidRPr="00311633">
        <w:rPr>
          <w:rFonts w:ascii="Times New Roman" w:hAnsi="Times New Roman" w:cs="Times New Roman"/>
          <w:sz w:val="24"/>
          <w:szCs w:val="24"/>
        </w:rPr>
        <w:t>ной ленте</w:t>
      </w:r>
      <w:r w:rsidR="0006643C" w:rsidRPr="00311633">
        <w:rPr>
          <w:rFonts w:ascii="Times New Roman" w:hAnsi="Times New Roman" w:cs="Times New Roman"/>
          <w:sz w:val="24"/>
          <w:szCs w:val="24"/>
        </w:rPr>
        <w:t xml:space="preserve">. </w:t>
      </w:r>
      <w:proofErr w:type="gramStart"/>
      <w:r w:rsidR="0006643C" w:rsidRPr="00311633">
        <w:rPr>
          <w:rFonts w:ascii="Times New Roman" w:hAnsi="Times New Roman" w:cs="Times New Roman"/>
          <w:sz w:val="24"/>
          <w:szCs w:val="24"/>
        </w:rPr>
        <w:t xml:space="preserve">Также уведомления о проведении публичных консультаций были направлены в: Департамент финансов и экономики Ненецкого автономного округа, Прокуратуру НАО, </w:t>
      </w:r>
      <w:r w:rsidR="0054361C" w:rsidRPr="00311633">
        <w:rPr>
          <w:rFonts w:ascii="Times New Roman" w:eastAsia="Calibri" w:hAnsi="Times New Roman" w:cs="Times New Roman"/>
          <w:bCs/>
          <w:sz w:val="24"/>
          <w:szCs w:val="24"/>
        </w:rPr>
        <w:t>Совет городского округа "Город Нарьян-Мар"</w:t>
      </w:r>
      <w:r w:rsidR="0054361C">
        <w:rPr>
          <w:rFonts w:ascii="Times New Roman" w:eastAsia="Calibri" w:hAnsi="Times New Roman" w:cs="Times New Roman"/>
          <w:bCs/>
          <w:sz w:val="24"/>
          <w:szCs w:val="24"/>
        </w:rPr>
        <w:t xml:space="preserve">, </w:t>
      </w:r>
      <w:r w:rsidR="0054361C" w:rsidRPr="00311633">
        <w:rPr>
          <w:rFonts w:ascii="Times New Roman" w:hAnsi="Times New Roman" w:cs="Times New Roman"/>
          <w:sz w:val="24"/>
          <w:szCs w:val="24"/>
        </w:rPr>
        <w:t>Уполномоченному по защите предпринимателей в Ненецком автономном округе</w:t>
      </w:r>
      <w:r w:rsidR="0054361C">
        <w:rPr>
          <w:rFonts w:ascii="Times New Roman" w:hAnsi="Times New Roman" w:cs="Times New Roman"/>
          <w:sz w:val="24"/>
          <w:szCs w:val="24"/>
        </w:rPr>
        <w:t>,</w:t>
      </w:r>
      <w:r w:rsidR="0054361C" w:rsidRPr="00311633">
        <w:rPr>
          <w:rFonts w:ascii="Times New Roman" w:hAnsi="Times New Roman" w:cs="Times New Roman"/>
          <w:sz w:val="24"/>
          <w:szCs w:val="24"/>
        </w:rPr>
        <w:t xml:space="preserve"> </w:t>
      </w:r>
      <w:r w:rsidR="0006643C" w:rsidRPr="00311633">
        <w:rPr>
          <w:rFonts w:ascii="Times New Roman" w:hAnsi="Times New Roman" w:cs="Times New Roman"/>
          <w:bCs/>
          <w:sz w:val="24"/>
          <w:szCs w:val="24"/>
        </w:rPr>
        <w:t>АО "Центр развития бизнеса НАО",</w:t>
      </w:r>
      <w:r w:rsidR="00BD2F98" w:rsidRPr="00311633">
        <w:rPr>
          <w:bCs/>
          <w:sz w:val="24"/>
          <w:szCs w:val="24"/>
        </w:rPr>
        <w:t xml:space="preserve"> </w:t>
      </w:r>
      <w:r w:rsidR="0054361C">
        <w:rPr>
          <w:rFonts w:ascii="Times New Roman" w:hAnsi="Times New Roman" w:cs="Times New Roman"/>
          <w:bCs/>
          <w:sz w:val="24"/>
          <w:szCs w:val="24"/>
        </w:rPr>
        <w:t xml:space="preserve">НРО ООО "Деловая Россия", ИП Джафарову Д.М., ИП </w:t>
      </w:r>
      <w:proofErr w:type="spellStart"/>
      <w:r w:rsidR="0054361C">
        <w:rPr>
          <w:rFonts w:ascii="Times New Roman" w:hAnsi="Times New Roman" w:cs="Times New Roman"/>
          <w:bCs/>
          <w:sz w:val="24"/>
          <w:szCs w:val="24"/>
        </w:rPr>
        <w:t>Садыгову</w:t>
      </w:r>
      <w:proofErr w:type="spellEnd"/>
      <w:r w:rsidR="0054361C">
        <w:rPr>
          <w:rFonts w:ascii="Times New Roman" w:hAnsi="Times New Roman" w:cs="Times New Roman"/>
          <w:bCs/>
          <w:sz w:val="24"/>
          <w:szCs w:val="24"/>
        </w:rPr>
        <w:t xml:space="preserve"> Х.М., ИП </w:t>
      </w:r>
      <w:proofErr w:type="spellStart"/>
      <w:r w:rsidR="0054361C">
        <w:rPr>
          <w:rFonts w:ascii="Times New Roman" w:hAnsi="Times New Roman" w:cs="Times New Roman"/>
          <w:bCs/>
          <w:sz w:val="24"/>
          <w:szCs w:val="24"/>
        </w:rPr>
        <w:t>Магеррамову</w:t>
      </w:r>
      <w:proofErr w:type="spellEnd"/>
      <w:r w:rsidR="0054361C">
        <w:rPr>
          <w:rFonts w:ascii="Times New Roman" w:hAnsi="Times New Roman" w:cs="Times New Roman"/>
          <w:bCs/>
          <w:sz w:val="24"/>
          <w:szCs w:val="24"/>
        </w:rPr>
        <w:t xml:space="preserve"> М.М., ИП Петрову В.В., ИП </w:t>
      </w:r>
      <w:proofErr w:type="spellStart"/>
      <w:r w:rsidR="0054361C">
        <w:rPr>
          <w:rFonts w:ascii="Times New Roman" w:hAnsi="Times New Roman" w:cs="Times New Roman"/>
          <w:bCs/>
          <w:sz w:val="24"/>
          <w:szCs w:val="24"/>
        </w:rPr>
        <w:t>Гадирову</w:t>
      </w:r>
      <w:proofErr w:type="spellEnd"/>
      <w:r w:rsidR="0054361C">
        <w:rPr>
          <w:rFonts w:ascii="Times New Roman" w:hAnsi="Times New Roman" w:cs="Times New Roman"/>
          <w:bCs/>
          <w:sz w:val="24"/>
          <w:szCs w:val="24"/>
        </w:rPr>
        <w:t> Р.Я.</w:t>
      </w:r>
      <w:proofErr w:type="gramEnd"/>
      <w:r w:rsidR="0054361C">
        <w:rPr>
          <w:rFonts w:ascii="Times New Roman" w:hAnsi="Times New Roman" w:cs="Times New Roman"/>
          <w:bCs/>
          <w:sz w:val="24"/>
          <w:szCs w:val="24"/>
        </w:rPr>
        <w:t xml:space="preserve">,  ИП </w:t>
      </w:r>
      <w:proofErr w:type="spellStart"/>
      <w:r w:rsidR="0054361C">
        <w:rPr>
          <w:rFonts w:ascii="Times New Roman" w:hAnsi="Times New Roman" w:cs="Times New Roman"/>
          <w:bCs/>
          <w:sz w:val="24"/>
          <w:szCs w:val="24"/>
        </w:rPr>
        <w:t>Саидову</w:t>
      </w:r>
      <w:proofErr w:type="spellEnd"/>
      <w:r w:rsidR="0054361C">
        <w:rPr>
          <w:rFonts w:ascii="Times New Roman" w:hAnsi="Times New Roman" w:cs="Times New Roman"/>
          <w:bCs/>
          <w:sz w:val="24"/>
          <w:szCs w:val="24"/>
        </w:rPr>
        <w:t xml:space="preserve"> И.Г., ИП </w:t>
      </w:r>
      <w:proofErr w:type="spellStart"/>
      <w:r w:rsidR="0054361C">
        <w:rPr>
          <w:rFonts w:ascii="Times New Roman" w:hAnsi="Times New Roman" w:cs="Times New Roman"/>
          <w:bCs/>
          <w:sz w:val="24"/>
          <w:szCs w:val="24"/>
        </w:rPr>
        <w:t>Ибишову</w:t>
      </w:r>
      <w:proofErr w:type="spellEnd"/>
      <w:r w:rsidR="0054361C">
        <w:rPr>
          <w:rFonts w:ascii="Times New Roman" w:hAnsi="Times New Roman" w:cs="Times New Roman"/>
          <w:bCs/>
          <w:sz w:val="24"/>
          <w:szCs w:val="24"/>
        </w:rPr>
        <w:t xml:space="preserve"> З.А., ИП Некрасовой А.В., ИП </w:t>
      </w:r>
      <w:proofErr w:type="spellStart"/>
      <w:r w:rsidR="0054361C">
        <w:rPr>
          <w:rFonts w:ascii="Times New Roman" w:hAnsi="Times New Roman" w:cs="Times New Roman"/>
          <w:bCs/>
          <w:sz w:val="24"/>
          <w:szCs w:val="24"/>
        </w:rPr>
        <w:t>Киркуевой</w:t>
      </w:r>
      <w:proofErr w:type="spellEnd"/>
      <w:r w:rsidR="0054361C">
        <w:rPr>
          <w:rFonts w:ascii="Times New Roman" w:hAnsi="Times New Roman" w:cs="Times New Roman"/>
          <w:bCs/>
          <w:sz w:val="24"/>
          <w:szCs w:val="24"/>
        </w:rPr>
        <w:t xml:space="preserve"> З.В., Главе крестьянского (фермерского) хозяйства Попову А.В., ИП Магомедову К.А., ИП Осташову С.Н., ИП Сулейманову Э.И., ИП </w:t>
      </w:r>
      <w:proofErr w:type="spellStart"/>
      <w:r w:rsidR="0054361C">
        <w:rPr>
          <w:rFonts w:ascii="Times New Roman" w:hAnsi="Times New Roman" w:cs="Times New Roman"/>
          <w:bCs/>
          <w:sz w:val="24"/>
          <w:szCs w:val="24"/>
        </w:rPr>
        <w:t>Майнусовой</w:t>
      </w:r>
      <w:proofErr w:type="spellEnd"/>
      <w:r w:rsidR="0054361C">
        <w:rPr>
          <w:rFonts w:ascii="Times New Roman" w:hAnsi="Times New Roman" w:cs="Times New Roman"/>
          <w:bCs/>
          <w:sz w:val="24"/>
          <w:szCs w:val="24"/>
        </w:rPr>
        <w:t xml:space="preserve"> С.Х., ИП </w:t>
      </w:r>
      <w:proofErr w:type="spellStart"/>
      <w:r w:rsidR="0054361C">
        <w:rPr>
          <w:rFonts w:ascii="Times New Roman" w:hAnsi="Times New Roman" w:cs="Times New Roman"/>
          <w:bCs/>
          <w:sz w:val="24"/>
          <w:szCs w:val="24"/>
        </w:rPr>
        <w:t>Бурадчуку</w:t>
      </w:r>
      <w:proofErr w:type="spellEnd"/>
      <w:r w:rsidR="0054361C">
        <w:rPr>
          <w:rFonts w:ascii="Times New Roman" w:hAnsi="Times New Roman" w:cs="Times New Roman"/>
          <w:bCs/>
          <w:sz w:val="24"/>
          <w:szCs w:val="24"/>
        </w:rPr>
        <w:t xml:space="preserve"> М.А</w:t>
      </w:r>
      <w:r w:rsidR="0006643C" w:rsidRPr="00311633">
        <w:rPr>
          <w:rFonts w:ascii="Times New Roman" w:hAnsi="Times New Roman" w:cs="Times New Roman"/>
          <w:bCs/>
          <w:sz w:val="24"/>
          <w:szCs w:val="24"/>
        </w:rPr>
        <w:t>.</w:t>
      </w:r>
      <w:r w:rsidRPr="00311633">
        <w:rPr>
          <w:rFonts w:ascii="Times New Roman" w:hAnsi="Times New Roman" w:cs="Times New Roman"/>
          <w:sz w:val="24"/>
          <w:szCs w:val="24"/>
        </w:rPr>
        <w:t xml:space="preserve"> </w:t>
      </w:r>
    </w:p>
    <w:p w:rsidR="00E61F9A" w:rsidRDefault="00E61F9A" w:rsidP="00E77C8E">
      <w:pPr>
        <w:spacing w:before="0"/>
        <w:ind w:left="0" w:right="-1" w:firstLine="709"/>
        <w:jc w:val="both"/>
        <w:rPr>
          <w:rFonts w:ascii="Times New Roman" w:hAnsi="Times New Roman" w:cs="Times New Roman"/>
          <w:sz w:val="24"/>
          <w:szCs w:val="24"/>
        </w:rPr>
      </w:pPr>
      <w:r w:rsidRPr="00311633">
        <w:rPr>
          <w:rFonts w:ascii="Times New Roman" w:hAnsi="Times New Roman" w:cs="Times New Roman"/>
          <w:sz w:val="24"/>
          <w:szCs w:val="24"/>
        </w:rPr>
        <w:t>Результаты публичных консультаций и позиция регулирующего органа отражен</w:t>
      </w:r>
      <w:r w:rsidR="003D3BCA" w:rsidRPr="00311633">
        <w:rPr>
          <w:rFonts w:ascii="Times New Roman" w:hAnsi="Times New Roman" w:cs="Times New Roman"/>
          <w:sz w:val="24"/>
          <w:szCs w:val="24"/>
        </w:rPr>
        <w:t>ы</w:t>
      </w:r>
      <w:r w:rsidRPr="00311633">
        <w:rPr>
          <w:rFonts w:ascii="Times New Roman" w:hAnsi="Times New Roman" w:cs="Times New Roman"/>
          <w:sz w:val="24"/>
          <w:szCs w:val="24"/>
        </w:rPr>
        <w:t xml:space="preserve"> в таблице результатов публичных консультаций</w:t>
      </w:r>
      <w:r w:rsidR="000C1FE5" w:rsidRPr="00311633">
        <w:rPr>
          <w:rFonts w:ascii="Times New Roman" w:hAnsi="Times New Roman" w:cs="Times New Roman"/>
          <w:sz w:val="24"/>
          <w:szCs w:val="24"/>
        </w:rPr>
        <w:t>:</w:t>
      </w:r>
    </w:p>
    <w:p w:rsidR="00E75793" w:rsidRDefault="00E75793" w:rsidP="00E75793">
      <w:pPr>
        <w:spacing w:before="0"/>
        <w:ind w:left="0" w:right="-1" w:firstLine="709"/>
        <w:jc w:val="right"/>
        <w:rPr>
          <w:rFonts w:ascii="Times New Roman" w:hAnsi="Times New Roman" w:cs="Times New Roman"/>
          <w:sz w:val="26"/>
          <w:szCs w:val="26"/>
        </w:rPr>
      </w:pPr>
    </w:p>
    <w:tbl>
      <w:tblPr>
        <w:tblStyle w:val="a3"/>
        <w:tblW w:w="10206" w:type="dxa"/>
        <w:tblInd w:w="108" w:type="dxa"/>
        <w:tblLook w:val="04A0"/>
      </w:tblPr>
      <w:tblGrid>
        <w:gridCol w:w="567"/>
        <w:gridCol w:w="2127"/>
        <w:gridCol w:w="3402"/>
        <w:gridCol w:w="4110"/>
      </w:tblGrid>
      <w:tr w:rsidR="0006643C" w:rsidRPr="006627CC" w:rsidTr="00436957">
        <w:trPr>
          <w:trHeight w:val="824"/>
        </w:trPr>
        <w:tc>
          <w:tcPr>
            <w:tcW w:w="567" w:type="dxa"/>
          </w:tcPr>
          <w:p w:rsidR="0006643C" w:rsidRPr="006627CC" w:rsidRDefault="0006643C" w:rsidP="0006643C">
            <w:pPr>
              <w:ind w:left="0" w:right="-1"/>
              <w:rPr>
                <w:rFonts w:ascii="Times New Roman" w:hAnsi="Times New Roman" w:cs="Times New Roman"/>
                <w:sz w:val="21"/>
                <w:szCs w:val="21"/>
              </w:rPr>
            </w:pPr>
            <w:r w:rsidRPr="006627CC">
              <w:rPr>
                <w:rFonts w:ascii="Times New Roman" w:hAnsi="Times New Roman" w:cs="Times New Roman"/>
                <w:sz w:val="21"/>
                <w:szCs w:val="21"/>
              </w:rPr>
              <w:t xml:space="preserve">№ </w:t>
            </w:r>
            <w:proofErr w:type="spellStart"/>
            <w:proofErr w:type="gramStart"/>
            <w:r w:rsidRPr="006627CC">
              <w:rPr>
                <w:rFonts w:ascii="Times New Roman" w:hAnsi="Times New Roman" w:cs="Times New Roman"/>
                <w:sz w:val="21"/>
                <w:szCs w:val="21"/>
              </w:rPr>
              <w:t>п</w:t>
            </w:r>
            <w:proofErr w:type="spellEnd"/>
            <w:proofErr w:type="gramEnd"/>
            <w:r w:rsidRPr="006627CC">
              <w:rPr>
                <w:rFonts w:ascii="Times New Roman" w:hAnsi="Times New Roman" w:cs="Times New Roman"/>
                <w:sz w:val="21"/>
                <w:szCs w:val="21"/>
              </w:rPr>
              <w:t>/</w:t>
            </w:r>
            <w:proofErr w:type="spellStart"/>
            <w:r w:rsidRPr="006627CC">
              <w:rPr>
                <w:rFonts w:ascii="Times New Roman" w:hAnsi="Times New Roman" w:cs="Times New Roman"/>
                <w:sz w:val="21"/>
                <w:szCs w:val="21"/>
              </w:rPr>
              <w:t>п</w:t>
            </w:r>
            <w:proofErr w:type="spellEnd"/>
          </w:p>
        </w:tc>
        <w:tc>
          <w:tcPr>
            <w:tcW w:w="2127" w:type="dxa"/>
            <w:vAlign w:val="center"/>
          </w:tcPr>
          <w:p w:rsidR="0006643C" w:rsidRPr="006627CC" w:rsidRDefault="0006643C" w:rsidP="0006643C">
            <w:pPr>
              <w:ind w:left="0" w:right="-1"/>
              <w:rPr>
                <w:rFonts w:ascii="Times New Roman" w:hAnsi="Times New Roman" w:cs="Times New Roman"/>
                <w:sz w:val="21"/>
                <w:szCs w:val="21"/>
              </w:rPr>
            </w:pPr>
            <w:r w:rsidRPr="006627CC">
              <w:rPr>
                <w:rFonts w:ascii="Times New Roman" w:hAnsi="Times New Roman" w:cs="Times New Roman"/>
                <w:sz w:val="21"/>
                <w:szCs w:val="21"/>
              </w:rPr>
              <w:t>Наименование субъекта публичных консультаций</w:t>
            </w:r>
          </w:p>
        </w:tc>
        <w:tc>
          <w:tcPr>
            <w:tcW w:w="3402" w:type="dxa"/>
            <w:vAlign w:val="center"/>
          </w:tcPr>
          <w:p w:rsidR="0006643C" w:rsidRPr="006627CC" w:rsidRDefault="0006643C" w:rsidP="0006643C">
            <w:pPr>
              <w:ind w:left="0" w:right="-1" w:hanging="25"/>
              <w:rPr>
                <w:rFonts w:ascii="Times New Roman" w:hAnsi="Times New Roman" w:cs="Times New Roman"/>
                <w:sz w:val="21"/>
                <w:szCs w:val="21"/>
              </w:rPr>
            </w:pPr>
            <w:r w:rsidRPr="006627CC">
              <w:rPr>
                <w:rFonts w:ascii="Times New Roman" w:hAnsi="Times New Roman" w:cs="Times New Roman"/>
                <w:sz w:val="21"/>
                <w:szCs w:val="21"/>
              </w:rPr>
              <w:t>Высказанное мнение</w:t>
            </w:r>
          </w:p>
          <w:p w:rsidR="0006643C" w:rsidRPr="006627CC" w:rsidRDefault="0006643C" w:rsidP="0006643C">
            <w:pPr>
              <w:ind w:left="0" w:right="-1" w:hanging="25"/>
              <w:rPr>
                <w:rFonts w:ascii="Times New Roman" w:hAnsi="Times New Roman" w:cs="Times New Roman"/>
                <w:sz w:val="21"/>
                <w:szCs w:val="21"/>
              </w:rPr>
            </w:pPr>
            <w:r w:rsidRPr="006627CC">
              <w:rPr>
                <w:rFonts w:ascii="Times New Roman" w:hAnsi="Times New Roman" w:cs="Times New Roman"/>
                <w:sz w:val="21"/>
                <w:szCs w:val="21"/>
              </w:rPr>
              <w:t>(замечание и/или предложение</w:t>
            </w:r>
            <w:r w:rsidR="00E75793" w:rsidRPr="006627CC">
              <w:rPr>
                <w:rFonts w:ascii="Times New Roman" w:hAnsi="Times New Roman" w:cs="Times New Roman"/>
                <w:sz w:val="21"/>
                <w:szCs w:val="21"/>
              </w:rPr>
              <w:t>)</w:t>
            </w:r>
          </w:p>
        </w:tc>
        <w:tc>
          <w:tcPr>
            <w:tcW w:w="4110" w:type="dxa"/>
            <w:vAlign w:val="center"/>
          </w:tcPr>
          <w:p w:rsidR="0006643C" w:rsidRPr="006627CC" w:rsidRDefault="0006643C" w:rsidP="0006643C">
            <w:pPr>
              <w:ind w:left="0" w:right="-1"/>
              <w:rPr>
                <w:rFonts w:ascii="Times New Roman" w:hAnsi="Times New Roman" w:cs="Times New Roman"/>
                <w:sz w:val="21"/>
                <w:szCs w:val="21"/>
              </w:rPr>
            </w:pPr>
            <w:r w:rsidRPr="006627CC">
              <w:rPr>
                <w:rFonts w:ascii="Times New Roman" w:hAnsi="Times New Roman" w:cs="Times New Roman"/>
                <w:sz w:val="21"/>
                <w:szCs w:val="21"/>
              </w:rPr>
              <w:t>Позиция</w:t>
            </w:r>
            <w:r w:rsidR="0069536D" w:rsidRPr="006627CC">
              <w:rPr>
                <w:rFonts w:ascii="Times New Roman" w:hAnsi="Times New Roman" w:cs="Times New Roman"/>
                <w:sz w:val="21"/>
                <w:szCs w:val="21"/>
              </w:rPr>
              <w:t xml:space="preserve"> </w:t>
            </w:r>
            <w:r w:rsidRPr="006627CC">
              <w:rPr>
                <w:rFonts w:ascii="Times New Roman" w:hAnsi="Times New Roman" w:cs="Times New Roman"/>
                <w:sz w:val="21"/>
                <w:szCs w:val="21"/>
              </w:rPr>
              <w:t>регулирующего органа</w:t>
            </w:r>
          </w:p>
          <w:p w:rsidR="0006643C" w:rsidRPr="006627CC" w:rsidRDefault="0006643C" w:rsidP="0006643C">
            <w:pPr>
              <w:ind w:left="0" w:right="-1"/>
              <w:rPr>
                <w:rFonts w:ascii="Times New Roman" w:hAnsi="Times New Roman" w:cs="Times New Roman"/>
                <w:sz w:val="21"/>
                <w:szCs w:val="21"/>
              </w:rPr>
            </w:pPr>
            <w:r w:rsidRPr="006627CC">
              <w:rPr>
                <w:rFonts w:ascii="Times New Roman" w:hAnsi="Times New Roman" w:cs="Times New Roman"/>
                <w:sz w:val="21"/>
                <w:szCs w:val="21"/>
              </w:rPr>
              <w:t>(с обоснованием позиции)</w:t>
            </w:r>
          </w:p>
        </w:tc>
      </w:tr>
      <w:tr w:rsidR="00F0609F" w:rsidRPr="006627CC" w:rsidTr="00436957">
        <w:trPr>
          <w:trHeight w:val="888"/>
        </w:trPr>
        <w:tc>
          <w:tcPr>
            <w:tcW w:w="567" w:type="dxa"/>
          </w:tcPr>
          <w:p w:rsidR="00F0609F" w:rsidRPr="006627CC" w:rsidRDefault="0053479C" w:rsidP="00311930">
            <w:pPr>
              <w:ind w:right="-1"/>
              <w:jc w:val="both"/>
              <w:rPr>
                <w:rFonts w:ascii="Times New Roman" w:hAnsi="Times New Roman" w:cs="Times New Roman"/>
                <w:sz w:val="21"/>
                <w:szCs w:val="21"/>
              </w:rPr>
            </w:pPr>
            <w:r>
              <w:rPr>
                <w:rFonts w:ascii="Times New Roman" w:hAnsi="Times New Roman" w:cs="Times New Roman"/>
                <w:sz w:val="21"/>
                <w:szCs w:val="21"/>
              </w:rPr>
              <w:t>1</w:t>
            </w:r>
          </w:p>
        </w:tc>
        <w:tc>
          <w:tcPr>
            <w:tcW w:w="2127" w:type="dxa"/>
          </w:tcPr>
          <w:p w:rsidR="00F0609F" w:rsidRPr="006627CC" w:rsidRDefault="00F0609F" w:rsidP="00E75793">
            <w:pPr>
              <w:ind w:left="34" w:right="-1"/>
              <w:jc w:val="left"/>
              <w:rPr>
                <w:rFonts w:ascii="Times New Roman" w:hAnsi="Times New Roman" w:cs="Times New Roman"/>
                <w:sz w:val="21"/>
                <w:szCs w:val="21"/>
              </w:rPr>
            </w:pPr>
            <w:r w:rsidRPr="006627CC">
              <w:rPr>
                <w:rFonts w:ascii="Times New Roman" w:hAnsi="Times New Roman" w:cs="Times New Roman"/>
                <w:sz w:val="21"/>
                <w:szCs w:val="21"/>
              </w:rPr>
              <w:t>Департамент финансов и экономики Ненецкого автономного округа</w:t>
            </w:r>
          </w:p>
        </w:tc>
        <w:tc>
          <w:tcPr>
            <w:tcW w:w="3402" w:type="dxa"/>
          </w:tcPr>
          <w:p w:rsidR="00F0609F" w:rsidRDefault="00CC0EB4" w:rsidP="00116BB7">
            <w:pPr>
              <w:pStyle w:val="a4"/>
              <w:tabs>
                <w:tab w:val="left" w:pos="318"/>
              </w:tabs>
              <w:ind w:left="47" w:right="-1" w:firstLine="128"/>
              <w:jc w:val="both"/>
              <w:rPr>
                <w:rFonts w:ascii="Times New Roman" w:hAnsi="Times New Roman" w:cs="Times New Roman"/>
                <w:sz w:val="21"/>
                <w:szCs w:val="21"/>
              </w:rPr>
            </w:pPr>
            <w:r>
              <w:rPr>
                <w:rFonts w:ascii="Times New Roman" w:hAnsi="Times New Roman" w:cs="Times New Roman"/>
                <w:sz w:val="21"/>
                <w:szCs w:val="21"/>
              </w:rPr>
              <w:t>Принятие проекта в представленной редакции предполагает избыточные обязанности и запреты для субъектов малого и среднего предпринимательства, а также положения, приводящие к возникновению расходов субъектов предпринимательской деятельности. Предлагаем доработать проект и учесть следующие предложения:</w:t>
            </w:r>
          </w:p>
          <w:p w:rsidR="00CC0EB4" w:rsidRDefault="00CC0EB4" w:rsidP="00116BB7">
            <w:pPr>
              <w:pStyle w:val="a4"/>
              <w:numPr>
                <w:ilvl w:val="0"/>
                <w:numId w:val="14"/>
              </w:numPr>
              <w:tabs>
                <w:tab w:val="left" w:pos="318"/>
              </w:tabs>
              <w:ind w:left="47" w:right="-1" w:firstLine="128"/>
              <w:jc w:val="both"/>
              <w:rPr>
                <w:rFonts w:ascii="Times New Roman" w:hAnsi="Times New Roman" w:cs="Times New Roman"/>
                <w:sz w:val="21"/>
                <w:szCs w:val="21"/>
              </w:rPr>
            </w:pPr>
            <w:r>
              <w:rPr>
                <w:rFonts w:ascii="Times New Roman" w:hAnsi="Times New Roman" w:cs="Times New Roman"/>
                <w:sz w:val="21"/>
                <w:szCs w:val="21"/>
              </w:rPr>
              <w:t>по тексту слова "физические и юридические лица", заменить словами "индивидуальные предприниматели и юридические лица", в соответствующем лице и падеже;</w:t>
            </w:r>
          </w:p>
          <w:p w:rsidR="00CC0EB4" w:rsidRDefault="00CC0EB4" w:rsidP="00116BB7">
            <w:pPr>
              <w:pStyle w:val="a4"/>
              <w:numPr>
                <w:ilvl w:val="0"/>
                <w:numId w:val="14"/>
              </w:numPr>
              <w:tabs>
                <w:tab w:val="left" w:pos="318"/>
              </w:tabs>
              <w:ind w:left="47" w:right="-1" w:firstLine="128"/>
              <w:jc w:val="both"/>
              <w:rPr>
                <w:rFonts w:ascii="Times New Roman" w:hAnsi="Times New Roman" w:cs="Times New Roman"/>
                <w:sz w:val="21"/>
                <w:szCs w:val="21"/>
              </w:rPr>
            </w:pPr>
            <w:r>
              <w:rPr>
                <w:rFonts w:ascii="Times New Roman" w:hAnsi="Times New Roman" w:cs="Times New Roman"/>
                <w:sz w:val="21"/>
                <w:szCs w:val="21"/>
              </w:rPr>
              <w:t xml:space="preserve">в абзаце третьем пункта 2.10 проекта определить срок уведомления лиц, указанных в </w:t>
            </w:r>
            <w:r>
              <w:rPr>
                <w:rFonts w:ascii="Times New Roman" w:hAnsi="Times New Roman" w:cs="Times New Roman"/>
                <w:sz w:val="21"/>
                <w:szCs w:val="21"/>
              </w:rPr>
              <w:lastRenderedPageBreak/>
              <w:t>пункте 1.2 проекта;</w:t>
            </w:r>
          </w:p>
          <w:p w:rsidR="00CC0EB4" w:rsidRDefault="00CC0EB4" w:rsidP="00116BB7">
            <w:pPr>
              <w:pStyle w:val="a4"/>
              <w:numPr>
                <w:ilvl w:val="0"/>
                <w:numId w:val="14"/>
              </w:numPr>
              <w:tabs>
                <w:tab w:val="left" w:pos="318"/>
              </w:tabs>
              <w:ind w:left="47" w:right="-1" w:firstLine="128"/>
              <w:jc w:val="both"/>
              <w:rPr>
                <w:rFonts w:ascii="Times New Roman" w:hAnsi="Times New Roman" w:cs="Times New Roman"/>
                <w:sz w:val="21"/>
                <w:szCs w:val="21"/>
              </w:rPr>
            </w:pPr>
            <w:r>
              <w:rPr>
                <w:rFonts w:ascii="Times New Roman" w:hAnsi="Times New Roman" w:cs="Times New Roman"/>
                <w:sz w:val="21"/>
                <w:szCs w:val="21"/>
              </w:rPr>
              <w:t>пересмотреть запрет на возведение "козырьков" на павильонах, так как в приложении к проекту, отображен павильон с козырьком.</w:t>
            </w:r>
          </w:p>
          <w:p w:rsidR="00CC0EB4" w:rsidRPr="006627CC" w:rsidRDefault="00CC0EB4" w:rsidP="00116BB7">
            <w:pPr>
              <w:pStyle w:val="a4"/>
              <w:tabs>
                <w:tab w:val="left" w:pos="318"/>
              </w:tabs>
              <w:ind w:left="47" w:right="-1" w:firstLine="128"/>
              <w:jc w:val="both"/>
              <w:rPr>
                <w:rFonts w:ascii="Times New Roman" w:hAnsi="Times New Roman" w:cs="Times New Roman"/>
                <w:sz w:val="21"/>
                <w:szCs w:val="21"/>
              </w:rPr>
            </w:pPr>
            <w:r>
              <w:rPr>
                <w:rFonts w:ascii="Times New Roman" w:hAnsi="Times New Roman" w:cs="Times New Roman"/>
                <w:sz w:val="21"/>
                <w:szCs w:val="21"/>
              </w:rPr>
              <w:t>Предлагаем обратить внимание на опыт других регионов по аналогичным порядкам с использованием лучших практик.</w:t>
            </w:r>
          </w:p>
        </w:tc>
        <w:tc>
          <w:tcPr>
            <w:tcW w:w="4110" w:type="dxa"/>
          </w:tcPr>
          <w:p w:rsidR="00116BB7" w:rsidRPr="00116BB7" w:rsidRDefault="00CC0EB4" w:rsidP="00451DFB">
            <w:pPr>
              <w:pStyle w:val="a4"/>
              <w:tabs>
                <w:tab w:val="left" w:pos="175"/>
              </w:tabs>
              <w:ind w:left="33" w:right="-1"/>
              <w:jc w:val="left"/>
              <w:rPr>
                <w:rFonts w:ascii="Times New Roman" w:hAnsi="Times New Roman" w:cs="Times New Roman"/>
                <w:sz w:val="21"/>
                <w:szCs w:val="21"/>
              </w:rPr>
            </w:pPr>
            <w:r w:rsidRPr="00116BB7">
              <w:rPr>
                <w:rFonts w:ascii="Times New Roman" w:hAnsi="Times New Roman" w:cs="Times New Roman"/>
                <w:sz w:val="21"/>
                <w:szCs w:val="21"/>
              </w:rPr>
              <w:lastRenderedPageBreak/>
              <w:t xml:space="preserve">Проект акта разработан </w:t>
            </w:r>
            <w:r w:rsidRPr="00116BB7">
              <w:rPr>
                <w:rFonts w:ascii="Times New Roman" w:eastAsia="Times New Roman" w:hAnsi="Times New Roman" w:cs="Times New Roman"/>
                <w:sz w:val="21"/>
                <w:szCs w:val="21"/>
              </w:rPr>
              <w:t xml:space="preserve">в </w:t>
            </w:r>
            <w:r w:rsidRPr="00116BB7">
              <w:rPr>
                <w:rFonts w:ascii="Times New Roman" w:hAnsi="Times New Roman" w:cs="Times New Roman"/>
                <w:sz w:val="21"/>
                <w:szCs w:val="21"/>
              </w:rPr>
              <w:t>целях формирования единства архитектурно-эстетического облика города Нарьян-Мара и повышения удобства и функциональности осуществления торговой деятельности (как для хозяйствующего субъекта, так и для потребителя) через нестационарные торговые объекты на территории муниципального образования "Городской округ "Город Нарьян-Мар".</w:t>
            </w:r>
            <w:r w:rsidR="00B8691D" w:rsidRPr="00116BB7">
              <w:rPr>
                <w:rFonts w:ascii="Times New Roman" w:hAnsi="Times New Roman" w:cs="Times New Roman"/>
                <w:sz w:val="21"/>
                <w:szCs w:val="21"/>
              </w:rPr>
              <w:t xml:space="preserve"> </w:t>
            </w:r>
            <w:proofErr w:type="gramStart"/>
            <w:r w:rsidR="00B8691D" w:rsidRPr="00116BB7">
              <w:rPr>
                <w:rFonts w:ascii="Times New Roman" w:hAnsi="Times New Roman" w:cs="Times New Roman"/>
                <w:sz w:val="21"/>
                <w:szCs w:val="21"/>
              </w:rPr>
              <w:t xml:space="preserve">Вопрос о приведении нестационарных торговых объектов в соответствие современным требованиям обсуждался неоднократно в течение 2016-2018 гг. на совещаниях (координационных советах), проводимых Администрацией Ненецкого автономного округа </w:t>
            </w:r>
            <w:r w:rsidR="00B8691D" w:rsidRPr="00116BB7">
              <w:rPr>
                <w:rFonts w:ascii="Times New Roman" w:hAnsi="Times New Roman" w:cs="Times New Roman"/>
                <w:sz w:val="21"/>
                <w:szCs w:val="21"/>
              </w:rPr>
              <w:br/>
              <w:t>и Администрацией МО "Городской округ "Город Нарьян-Мар"</w:t>
            </w:r>
            <w:r w:rsidR="00116BB7" w:rsidRPr="00116BB7">
              <w:rPr>
                <w:rFonts w:ascii="Times New Roman" w:hAnsi="Times New Roman" w:cs="Times New Roman"/>
                <w:sz w:val="21"/>
                <w:szCs w:val="21"/>
              </w:rPr>
              <w:t xml:space="preserve">, также вопрос был озвучен в социальной сети "Контакт", где жители высказали свою позицию о сносе </w:t>
            </w:r>
            <w:r w:rsidR="00116BB7" w:rsidRPr="00116BB7">
              <w:rPr>
                <w:rFonts w:ascii="Times New Roman" w:hAnsi="Times New Roman" w:cs="Times New Roman"/>
                <w:sz w:val="21"/>
                <w:szCs w:val="21"/>
              </w:rPr>
              <w:lastRenderedPageBreak/>
              <w:t>"убогих" павильонов и замене их на современные</w:t>
            </w:r>
            <w:r w:rsidR="00B8691D" w:rsidRPr="00116BB7">
              <w:rPr>
                <w:rFonts w:ascii="Times New Roman" w:hAnsi="Times New Roman" w:cs="Times New Roman"/>
                <w:sz w:val="21"/>
                <w:szCs w:val="21"/>
              </w:rPr>
              <w:t xml:space="preserve">. </w:t>
            </w:r>
            <w:proofErr w:type="gramEnd"/>
          </w:p>
          <w:p w:rsidR="00F0609F" w:rsidRDefault="00B8691D" w:rsidP="00116BB7">
            <w:pPr>
              <w:pStyle w:val="a4"/>
              <w:tabs>
                <w:tab w:val="left" w:pos="175"/>
              </w:tabs>
              <w:ind w:left="33" w:right="-1"/>
              <w:jc w:val="left"/>
              <w:rPr>
                <w:rFonts w:ascii="Times New Roman" w:hAnsi="Times New Roman" w:cs="Times New Roman"/>
                <w:sz w:val="21"/>
                <w:szCs w:val="21"/>
              </w:rPr>
            </w:pPr>
            <w:r w:rsidRPr="00116BB7">
              <w:rPr>
                <w:rFonts w:ascii="Times New Roman" w:hAnsi="Times New Roman" w:cs="Times New Roman"/>
                <w:sz w:val="21"/>
                <w:szCs w:val="21"/>
              </w:rPr>
              <w:t xml:space="preserve">В сводном отчете </w:t>
            </w:r>
            <w:r w:rsidR="00116BB7" w:rsidRPr="00116BB7">
              <w:rPr>
                <w:rFonts w:ascii="Times New Roman" w:hAnsi="Times New Roman" w:cs="Times New Roman"/>
                <w:sz w:val="21"/>
                <w:szCs w:val="21"/>
              </w:rPr>
              <w:t>в разделе 7 указаны расходы, которые понесут субъекты малого и среднего предпринимательства при установке павильонов нового типа.  Проектом акта предусмотрен переходный период.</w:t>
            </w:r>
          </w:p>
          <w:p w:rsidR="00116BB7" w:rsidRDefault="00116BB7" w:rsidP="002A5CBE">
            <w:pPr>
              <w:pStyle w:val="a4"/>
              <w:numPr>
                <w:ilvl w:val="0"/>
                <w:numId w:val="15"/>
              </w:numPr>
              <w:tabs>
                <w:tab w:val="left" w:pos="175"/>
              </w:tabs>
              <w:ind w:left="33" w:right="-1" w:firstLine="0"/>
              <w:jc w:val="left"/>
              <w:rPr>
                <w:rFonts w:ascii="Times New Roman" w:hAnsi="Times New Roman" w:cs="Times New Roman"/>
                <w:sz w:val="21"/>
                <w:szCs w:val="21"/>
              </w:rPr>
            </w:pPr>
            <w:r>
              <w:rPr>
                <w:rFonts w:ascii="Times New Roman" w:hAnsi="Times New Roman" w:cs="Times New Roman"/>
                <w:sz w:val="21"/>
                <w:szCs w:val="21"/>
              </w:rPr>
              <w:t>Замечание будет учтено.</w:t>
            </w:r>
          </w:p>
          <w:p w:rsidR="00D4133D" w:rsidRPr="00D4133D" w:rsidRDefault="00116BB7" w:rsidP="002A5CBE">
            <w:pPr>
              <w:pStyle w:val="a4"/>
              <w:numPr>
                <w:ilvl w:val="0"/>
                <w:numId w:val="15"/>
              </w:numPr>
              <w:autoSpaceDE w:val="0"/>
              <w:autoSpaceDN w:val="0"/>
              <w:adjustRightInd w:val="0"/>
              <w:ind w:left="33" w:right="0" w:firstLine="0"/>
              <w:jc w:val="both"/>
              <w:rPr>
                <w:rFonts w:ascii="Times New Roman" w:hAnsi="Times New Roman" w:cs="Times New Roman"/>
                <w:sz w:val="21"/>
                <w:szCs w:val="21"/>
              </w:rPr>
            </w:pPr>
            <w:r w:rsidRPr="00D4133D">
              <w:rPr>
                <w:rFonts w:ascii="Times New Roman" w:hAnsi="Times New Roman" w:cs="Times New Roman"/>
                <w:sz w:val="21"/>
                <w:szCs w:val="21"/>
              </w:rPr>
              <w:t>Согласно ст.12</w:t>
            </w:r>
            <w:r w:rsidR="00125733" w:rsidRPr="00D4133D">
              <w:rPr>
                <w:rFonts w:ascii="Times New Roman" w:hAnsi="Times New Roman" w:cs="Times New Roman"/>
                <w:sz w:val="21"/>
                <w:szCs w:val="21"/>
              </w:rPr>
              <w:t xml:space="preserve"> Федерального </w:t>
            </w:r>
            <w:r w:rsidR="003C6C00" w:rsidRPr="00D4133D">
              <w:rPr>
                <w:rFonts w:ascii="Times New Roman" w:hAnsi="Times New Roman" w:cs="Times New Roman"/>
                <w:sz w:val="21"/>
                <w:szCs w:val="21"/>
              </w:rPr>
              <w:t>закона от 02.05.2006 № 59-ФЗ "</w:t>
            </w:r>
            <w:r w:rsidR="00D4133D" w:rsidRPr="00D4133D">
              <w:rPr>
                <w:rFonts w:ascii="Times New Roman" w:hAnsi="Times New Roman" w:cs="Times New Roman"/>
                <w:sz w:val="21"/>
                <w:szCs w:val="21"/>
              </w:rPr>
              <w:t>О</w:t>
            </w:r>
            <w:r w:rsidR="00D4133D" w:rsidRPr="00D4133D">
              <w:rPr>
                <w:rFonts w:ascii="Times New Roman" w:hAnsi="Times New Roman" w:cs="Times New Roman"/>
                <w:sz w:val="24"/>
                <w:szCs w:val="24"/>
              </w:rPr>
              <w:t xml:space="preserve"> </w:t>
            </w:r>
            <w:r w:rsidR="00D4133D" w:rsidRPr="00D4133D">
              <w:rPr>
                <w:rFonts w:ascii="Times New Roman" w:hAnsi="Times New Roman" w:cs="Times New Roman"/>
                <w:sz w:val="21"/>
                <w:szCs w:val="21"/>
              </w:rPr>
              <w:t>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sidR="00D4133D">
              <w:rPr>
                <w:rFonts w:ascii="Times New Roman" w:hAnsi="Times New Roman" w:cs="Times New Roman"/>
                <w:sz w:val="21"/>
                <w:szCs w:val="21"/>
              </w:rPr>
              <w:t xml:space="preserve">. В соответствии  с п.2.10 проекта акта эскиз направляется на согласование в Департамент строительства, ЖКХ, энергетики и транспорта НАО, в связи с чем, срок ответа невозможно установить точным, так как согласование эскиза не в полной мере зависит от Администрации МО "Городской округ "Город Нарьян-Мар". </w:t>
            </w:r>
          </w:p>
          <w:p w:rsidR="00116BB7" w:rsidRDefault="00D4133D" w:rsidP="002A5CBE">
            <w:pPr>
              <w:pStyle w:val="a4"/>
              <w:numPr>
                <w:ilvl w:val="0"/>
                <w:numId w:val="15"/>
              </w:numPr>
              <w:tabs>
                <w:tab w:val="left" w:pos="175"/>
              </w:tabs>
              <w:ind w:left="33" w:right="-1" w:firstLine="0"/>
              <w:jc w:val="left"/>
              <w:rPr>
                <w:rFonts w:ascii="Times New Roman" w:hAnsi="Times New Roman" w:cs="Times New Roman"/>
                <w:sz w:val="21"/>
                <w:szCs w:val="21"/>
              </w:rPr>
            </w:pPr>
            <w:r>
              <w:rPr>
                <w:rFonts w:ascii="Times New Roman" w:hAnsi="Times New Roman" w:cs="Times New Roman"/>
                <w:sz w:val="21"/>
                <w:szCs w:val="21"/>
              </w:rPr>
              <w:t>Замечание будет учтено.</w:t>
            </w:r>
          </w:p>
          <w:p w:rsidR="00D15717" w:rsidRDefault="00D15717" w:rsidP="002A5CBE">
            <w:pPr>
              <w:pStyle w:val="a4"/>
              <w:tabs>
                <w:tab w:val="left" w:pos="175"/>
              </w:tabs>
              <w:ind w:left="33" w:right="-1"/>
              <w:jc w:val="left"/>
              <w:rPr>
                <w:rFonts w:ascii="Times New Roman" w:hAnsi="Times New Roman" w:cs="Times New Roman"/>
                <w:sz w:val="21"/>
                <w:szCs w:val="21"/>
              </w:rPr>
            </w:pPr>
          </w:p>
          <w:p w:rsidR="00D15717" w:rsidRPr="006627CC" w:rsidRDefault="00D15717" w:rsidP="002A5CBE">
            <w:pPr>
              <w:pStyle w:val="a4"/>
              <w:tabs>
                <w:tab w:val="left" w:pos="175"/>
              </w:tabs>
              <w:ind w:left="33" w:right="-1"/>
              <w:jc w:val="left"/>
              <w:rPr>
                <w:rFonts w:ascii="Times New Roman" w:hAnsi="Times New Roman" w:cs="Times New Roman"/>
                <w:sz w:val="21"/>
                <w:szCs w:val="21"/>
              </w:rPr>
            </w:pPr>
            <w:r>
              <w:rPr>
                <w:rFonts w:ascii="Times New Roman" w:hAnsi="Times New Roman" w:cs="Times New Roman"/>
                <w:sz w:val="21"/>
                <w:szCs w:val="21"/>
              </w:rPr>
              <w:t xml:space="preserve">При разработке </w:t>
            </w:r>
            <w:r w:rsidR="00A41977">
              <w:rPr>
                <w:rFonts w:ascii="Times New Roman" w:hAnsi="Times New Roman" w:cs="Times New Roman"/>
                <w:sz w:val="21"/>
                <w:szCs w:val="21"/>
              </w:rPr>
              <w:t>проекта акты был изучен и применен опыт других регионов, что отражено в сводном отчете.</w:t>
            </w:r>
          </w:p>
        </w:tc>
      </w:tr>
      <w:tr w:rsidR="00A41977" w:rsidRPr="006627CC" w:rsidTr="00436957">
        <w:trPr>
          <w:trHeight w:val="888"/>
        </w:trPr>
        <w:tc>
          <w:tcPr>
            <w:tcW w:w="567" w:type="dxa"/>
          </w:tcPr>
          <w:p w:rsidR="00A41977" w:rsidRDefault="00A41977" w:rsidP="00311930">
            <w:pPr>
              <w:ind w:right="-1"/>
              <w:jc w:val="both"/>
              <w:rPr>
                <w:rFonts w:ascii="Times New Roman" w:hAnsi="Times New Roman" w:cs="Times New Roman"/>
                <w:sz w:val="21"/>
                <w:szCs w:val="21"/>
              </w:rPr>
            </w:pPr>
            <w:r>
              <w:rPr>
                <w:rFonts w:ascii="Times New Roman" w:hAnsi="Times New Roman" w:cs="Times New Roman"/>
                <w:sz w:val="21"/>
                <w:szCs w:val="21"/>
              </w:rPr>
              <w:lastRenderedPageBreak/>
              <w:t>2</w:t>
            </w:r>
          </w:p>
        </w:tc>
        <w:tc>
          <w:tcPr>
            <w:tcW w:w="2127" w:type="dxa"/>
          </w:tcPr>
          <w:p w:rsidR="00A41977" w:rsidRPr="006627CC" w:rsidRDefault="0034427B" w:rsidP="0034427B">
            <w:pPr>
              <w:ind w:left="34" w:right="-1"/>
              <w:jc w:val="left"/>
              <w:rPr>
                <w:rFonts w:ascii="Times New Roman" w:hAnsi="Times New Roman" w:cs="Times New Roman"/>
                <w:sz w:val="21"/>
                <w:szCs w:val="21"/>
              </w:rPr>
            </w:pPr>
            <w:r>
              <w:rPr>
                <w:rFonts w:ascii="Times New Roman" w:hAnsi="Times New Roman" w:cs="Times New Roman"/>
                <w:sz w:val="21"/>
                <w:szCs w:val="21"/>
              </w:rPr>
              <w:t>ИП Юматова Г.С.</w:t>
            </w:r>
          </w:p>
        </w:tc>
        <w:tc>
          <w:tcPr>
            <w:tcW w:w="3402" w:type="dxa"/>
          </w:tcPr>
          <w:p w:rsidR="00A41977" w:rsidRPr="00B05A1C" w:rsidRDefault="00B05A1C" w:rsidP="00B05A1C">
            <w:pPr>
              <w:pStyle w:val="a4"/>
              <w:tabs>
                <w:tab w:val="left" w:pos="318"/>
              </w:tabs>
              <w:ind w:left="47" w:right="-1" w:firstLine="128"/>
              <w:jc w:val="both"/>
              <w:rPr>
                <w:rFonts w:ascii="Times New Roman" w:hAnsi="Times New Roman" w:cs="Times New Roman"/>
                <w:sz w:val="21"/>
                <w:szCs w:val="21"/>
              </w:rPr>
            </w:pPr>
            <w:r w:rsidRPr="00B05A1C">
              <w:rPr>
                <w:rFonts w:ascii="Times New Roman" w:hAnsi="Times New Roman" w:cs="Times New Roman"/>
                <w:sz w:val="21"/>
                <w:szCs w:val="21"/>
              </w:rPr>
              <w:t>В пав</w:t>
            </w:r>
            <w:r>
              <w:rPr>
                <w:rFonts w:ascii="Times New Roman" w:hAnsi="Times New Roman" w:cs="Times New Roman"/>
                <w:sz w:val="21"/>
                <w:szCs w:val="21"/>
              </w:rPr>
              <w:t>и</w:t>
            </w:r>
            <w:r w:rsidRPr="00B05A1C">
              <w:rPr>
                <w:rFonts w:ascii="Times New Roman" w:hAnsi="Times New Roman" w:cs="Times New Roman"/>
                <w:sz w:val="21"/>
                <w:szCs w:val="21"/>
              </w:rPr>
              <w:t>льоне требуется оставлять пространство для клиентов, чтобы они могли зайти и рассмотреть продукцию ближе. На дверях всех пав</w:t>
            </w:r>
            <w:r>
              <w:rPr>
                <w:rFonts w:ascii="Times New Roman" w:hAnsi="Times New Roman" w:cs="Times New Roman"/>
                <w:sz w:val="21"/>
                <w:szCs w:val="21"/>
              </w:rPr>
              <w:t>и</w:t>
            </w:r>
            <w:r w:rsidRPr="00B05A1C">
              <w:rPr>
                <w:rFonts w:ascii="Times New Roman" w:hAnsi="Times New Roman" w:cs="Times New Roman"/>
                <w:sz w:val="21"/>
                <w:szCs w:val="21"/>
              </w:rPr>
              <w:t>льонов должны быть таблички с режимом работы, названием компании</w:t>
            </w:r>
            <w:r>
              <w:rPr>
                <w:rFonts w:ascii="Times New Roman" w:hAnsi="Times New Roman" w:cs="Times New Roman"/>
                <w:sz w:val="21"/>
                <w:szCs w:val="21"/>
              </w:rPr>
              <w:t xml:space="preserve"> </w:t>
            </w:r>
            <w:r w:rsidRPr="00B05A1C">
              <w:rPr>
                <w:rFonts w:ascii="Times New Roman" w:hAnsi="Times New Roman" w:cs="Times New Roman"/>
                <w:sz w:val="21"/>
                <w:szCs w:val="21"/>
              </w:rPr>
              <w:t>-</w:t>
            </w:r>
            <w:r>
              <w:rPr>
                <w:rFonts w:ascii="Times New Roman" w:hAnsi="Times New Roman" w:cs="Times New Roman"/>
                <w:sz w:val="21"/>
                <w:szCs w:val="21"/>
              </w:rPr>
              <w:t xml:space="preserve"> </w:t>
            </w:r>
            <w:r w:rsidRPr="00B05A1C">
              <w:rPr>
                <w:rFonts w:ascii="Times New Roman" w:hAnsi="Times New Roman" w:cs="Times New Roman"/>
                <w:sz w:val="21"/>
                <w:szCs w:val="21"/>
              </w:rPr>
              <w:t>прод</w:t>
            </w:r>
            <w:r>
              <w:rPr>
                <w:rFonts w:ascii="Times New Roman" w:hAnsi="Times New Roman" w:cs="Times New Roman"/>
                <w:sz w:val="21"/>
                <w:szCs w:val="21"/>
              </w:rPr>
              <w:t>а</w:t>
            </w:r>
            <w:r w:rsidRPr="00B05A1C">
              <w:rPr>
                <w:rFonts w:ascii="Times New Roman" w:hAnsi="Times New Roman" w:cs="Times New Roman"/>
                <w:sz w:val="21"/>
                <w:szCs w:val="21"/>
              </w:rPr>
              <w:t xml:space="preserve">вца, регистрационными данными, а также с информацией о возможных способах оплаты. Кроме того, единые требования касаются санитарного состояния торговых объектов, внешний вид продавцов. Павильоны должны быть привлекательными по своему внешнему виду, благоприятно воздействовать на психическое состояние людей, хорошо вписываться в застройку </w:t>
            </w:r>
            <w:proofErr w:type="gramStart"/>
            <w:r w:rsidRPr="00B05A1C">
              <w:rPr>
                <w:rFonts w:ascii="Times New Roman" w:hAnsi="Times New Roman" w:cs="Times New Roman"/>
                <w:sz w:val="21"/>
                <w:szCs w:val="21"/>
              </w:rPr>
              <w:t>и</w:t>
            </w:r>
            <w:proofErr w:type="gramEnd"/>
            <w:r w:rsidRPr="00B05A1C">
              <w:rPr>
                <w:rFonts w:ascii="Times New Roman" w:hAnsi="Times New Roman" w:cs="Times New Roman"/>
                <w:sz w:val="21"/>
                <w:szCs w:val="21"/>
              </w:rPr>
              <w:t xml:space="preserve"> не теряясь в ней. Новые требования к оформлению торговых объектов повысят культуру обслуживания клиентов.</w:t>
            </w:r>
          </w:p>
        </w:tc>
        <w:tc>
          <w:tcPr>
            <w:tcW w:w="4110" w:type="dxa"/>
          </w:tcPr>
          <w:p w:rsidR="00A41977" w:rsidRPr="00116BB7" w:rsidRDefault="00B05A1C" w:rsidP="00451DFB">
            <w:pPr>
              <w:pStyle w:val="a4"/>
              <w:tabs>
                <w:tab w:val="left" w:pos="175"/>
              </w:tabs>
              <w:ind w:left="33" w:right="-1"/>
              <w:jc w:val="left"/>
              <w:rPr>
                <w:rFonts w:ascii="Times New Roman" w:hAnsi="Times New Roman" w:cs="Times New Roman"/>
                <w:sz w:val="21"/>
                <w:szCs w:val="21"/>
              </w:rPr>
            </w:pPr>
            <w:r>
              <w:rPr>
                <w:rFonts w:ascii="Times New Roman" w:hAnsi="Times New Roman" w:cs="Times New Roman"/>
                <w:sz w:val="21"/>
                <w:szCs w:val="21"/>
              </w:rPr>
              <w:t>В проекте акта предложения учтены.</w:t>
            </w:r>
          </w:p>
        </w:tc>
      </w:tr>
    </w:tbl>
    <w:p w:rsidR="008E6C75" w:rsidRPr="00E61F9A" w:rsidRDefault="008E6C75" w:rsidP="00451DFB">
      <w:pPr>
        <w:ind w:left="0" w:right="-1" w:firstLine="709"/>
        <w:jc w:val="both"/>
        <w:rPr>
          <w:rFonts w:ascii="Times New Roman" w:hAnsi="Times New Roman" w:cs="Times New Roman"/>
          <w:sz w:val="26"/>
          <w:szCs w:val="26"/>
        </w:rPr>
      </w:pPr>
    </w:p>
    <w:sectPr w:rsidR="008E6C75" w:rsidRPr="00E61F9A" w:rsidSect="00451DFB">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7307B"/>
    <w:multiLevelType w:val="hybridMultilevel"/>
    <w:tmpl w:val="EDF69050"/>
    <w:lvl w:ilvl="0" w:tplc="622A3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A3DD2"/>
    <w:multiLevelType w:val="hybridMultilevel"/>
    <w:tmpl w:val="183A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67745"/>
    <w:multiLevelType w:val="hybridMultilevel"/>
    <w:tmpl w:val="9B0C8258"/>
    <w:lvl w:ilvl="0" w:tplc="F408922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1">
    <w:nsid w:val="4ADB6F47"/>
    <w:multiLevelType w:val="hybridMultilevel"/>
    <w:tmpl w:val="DE9454CA"/>
    <w:lvl w:ilvl="0" w:tplc="54B632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46AED"/>
    <w:multiLevelType w:val="hybridMultilevel"/>
    <w:tmpl w:val="66320060"/>
    <w:lvl w:ilvl="0" w:tplc="65B2FC66">
      <w:start w:val="1"/>
      <w:numFmt w:val="decimal"/>
      <w:lvlText w:val="%1."/>
      <w:lvlJc w:val="left"/>
      <w:pPr>
        <w:ind w:left="546" w:hanging="360"/>
      </w:pPr>
      <w:rPr>
        <w:rFonts w:hint="default"/>
      </w:rPr>
    </w:lvl>
    <w:lvl w:ilvl="1" w:tplc="04190019" w:tentative="1">
      <w:start w:val="1"/>
      <w:numFmt w:val="lowerLetter"/>
      <w:lvlText w:val="%2."/>
      <w:lvlJc w:val="left"/>
      <w:pPr>
        <w:ind w:left="1266" w:hanging="360"/>
      </w:pPr>
    </w:lvl>
    <w:lvl w:ilvl="2" w:tplc="0419001B" w:tentative="1">
      <w:start w:val="1"/>
      <w:numFmt w:val="lowerRoman"/>
      <w:lvlText w:val="%3."/>
      <w:lvlJc w:val="right"/>
      <w:pPr>
        <w:ind w:left="1986" w:hanging="180"/>
      </w:pPr>
    </w:lvl>
    <w:lvl w:ilvl="3" w:tplc="0419000F" w:tentative="1">
      <w:start w:val="1"/>
      <w:numFmt w:val="decimal"/>
      <w:lvlText w:val="%4."/>
      <w:lvlJc w:val="left"/>
      <w:pPr>
        <w:ind w:left="2706" w:hanging="360"/>
      </w:pPr>
    </w:lvl>
    <w:lvl w:ilvl="4" w:tplc="04190019" w:tentative="1">
      <w:start w:val="1"/>
      <w:numFmt w:val="lowerLetter"/>
      <w:lvlText w:val="%5."/>
      <w:lvlJc w:val="left"/>
      <w:pPr>
        <w:ind w:left="3426" w:hanging="360"/>
      </w:pPr>
    </w:lvl>
    <w:lvl w:ilvl="5" w:tplc="0419001B" w:tentative="1">
      <w:start w:val="1"/>
      <w:numFmt w:val="lowerRoman"/>
      <w:lvlText w:val="%6."/>
      <w:lvlJc w:val="right"/>
      <w:pPr>
        <w:ind w:left="4146" w:hanging="180"/>
      </w:pPr>
    </w:lvl>
    <w:lvl w:ilvl="6" w:tplc="0419000F" w:tentative="1">
      <w:start w:val="1"/>
      <w:numFmt w:val="decimal"/>
      <w:lvlText w:val="%7."/>
      <w:lvlJc w:val="left"/>
      <w:pPr>
        <w:ind w:left="4866" w:hanging="360"/>
      </w:pPr>
    </w:lvl>
    <w:lvl w:ilvl="7" w:tplc="04190019" w:tentative="1">
      <w:start w:val="1"/>
      <w:numFmt w:val="lowerLetter"/>
      <w:lvlText w:val="%8."/>
      <w:lvlJc w:val="left"/>
      <w:pPr>
        <w:ind w:left="5586" w:hanging="360"/>
      </w:pPr>
    </w:lvl>
    <w:lvl w:ilvl="8" w:tplc="0419001B" w:tentative="1">
      <w:start w:val="1"/>
      <w:numFmt w:val="lowerRoman"/>
      <w:lvlText w:val="%9."/>
      <w:lvlJc w:val="right"/>
      <w:pPr>
        <w:ind w:left="6306" w:hanging="180"/>
      </w:pPr>
    </w:lvl>
  </w:abstractNum>
  <w:abstractNum w:abstractNumId="13">
    <w:nsid w:val="646F418F"/>
    <w:multiLevelType w:val="hybridMultilevel"/>
    <w:tmpl w:val="32BA9AB4"/>
    <w:lvl w:ilvl="0" w:tplc="5E30B8E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4">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8"/>
  </w:num>
  <w:num w:numId="5">
    <w:abstractNumId w:val="6"/>
  </w:num>
  <w:num w:numId="6">
    <w:abstractNumId w:val="7"/>
  </w:num>
  <w:num w:numId="7">
    <w:abstractNumId w:val="3"/>
  </w:num>
  <w:num w:numId="8">
    <w:abstractNumId w:val="0"/>
  </w:num>
  <w:num w:numId="9">
    <w:abstractNumId w:val="11"/>
  </w:num>
  <w:num w:numId="10">
    <w:abstractNumId w:val="2"/>
  </w:num>
  <w:num w:numId="11">
    <w:abstractNumId w:val="1"/>
  </w:num>
  <w:num w:numId="12">
    <w:abstractNumId w:val="12"/>
  </w:num>
  <w:num w:numId="13">
    <w:abstractNumId w:val="13"/>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61F9A"/>
    <w:rsid w:val="00004CC4"/>
    <w:rsid w:val="00020D0E"/>
    <w:rsid w:val="0002443F"/>
    <w:rsid w:val="000370F5"/>
    <w:rsid w:val="00042B38"/>
    <w:rsid w:val="00044711"/>
    <w:rsid w:val="00052AF0"/>
    <w:rsid w:val="000612E6"/>
    <w:rsid w:val="000615CD"/>
    <w:rsid w:val="0006643C"/>
    <w:rsid w:val="00080571"/>
    <w:rsid w:val="00081F5B"/>
    <w:rsid w:val="000B1075"/>
    <w:rsid w:val="000B6412"/>
    <w:rsid w:val="000C1FE5"/>
    <w:rsid w:val="000C6F9F"/>
    <w:rsid w:val="000E306C"/>
    <w:rsid w:val="00116BB7"/>
    <w:rsid w:val="00125733"/>
    <w:rsid w:val="00144AA7"/>
    <w:rsid w:val="0014640C"/>
    <w:rsid w:val="00147054"/>
    <w:rsid w:val="001B3B6C"/>
    <w:rsid w:val="001C084C"/>
    <w:rsid w:val="001C2D49"/>
    <w:rsid w:val="001D0769"/>
    <w:rsid w:val="001E6D0E"/>
    <w:rsid w:val="002015AC"/>
    <w:rsid w:val="00213FB4"/>
    <w:rsid w:val="002A5CBE"/>
    <w:rsid w:val="002B09A5"/>
    <w:rsid w:val="002C1E00"/>
    <w:rsid w:val="002C7CF5"/>
    <w:rsid w:val="002D265D"/>
    <w:rsid w:val="002E1133"/>
    <w:rsid w:val="002E2FBE"/>
    <w:rsid w:val="002E3F20"/>
    <w:rsid w:val="003025D9"/>
    <w:rsid w:val="00311633"/>
    <w:rsid w:val="00311930"/>
    <w:rsid w:val="003279A6"/>
    <w:rsid w:val="00331909"/>
    <w:rsid w:val="0034427B"/>
    <w:rsid w:val="00364A25"/>
    <w:rsid w:val="00366F8D"/>
    <w:rsid w:val="003844CE"/>
    <w:rsid w:val="003A28F4"/>
    <w:rsid w:val="003A6B92"/>
    <w:rsid w:val="003C6C00"/>
    <w:rsid w:val="003C785D"/>
    <w:rsid w:val="003D3BCA"/>
    <w:rsid w:val="003D5C30"/>
    <w:rsid w:val="003E1D8F"/>
    <w:rsid w:val="003F0EA7"/>
    <w:rsid w:val="003F438F"/>
    <w:rsid w:val="00400C85"/>
    <w:rsid w:val="0040273F"/>
    <w:rsid w:val="00416F51"/>
    <w:rsid w:val="00436957"/>
    <w:rsid w:val="00451DFB"/>
    <w:rsid w:val="004538EA"/>
    <w:rsid w:val="004765F0"/>
    <w:rsid w:val="00481A08"/>
    <w:rsid w:val="00494A35"/>
    <w:rsid w:val="004C5F34"/>
    <w:rsid w:val="004E0C2F"/>
    <w:rsid w:val="0053479C"/>
    <w:rsid w:val="00536ABF"/>
    <w:rsid w:val="00543478"/>
    <w:rsid w:val="0054361C"/>
    <w:rsid w:val="0055799A"/>
    <w:rsid w:val="005A4198"/>
    <w:rsid w:val="005B577B"/>
    <w:rsid w:val="005C42D5"/>
    <w:rsid w:val="005F722D"/>
    <w:rsid w:val="006119BA"/>
    <w:rsid w:val="0061243A"/>
    <w:rsid w:val="00625753"/>
    <w:rsid w:val="00634072"/>
    <w:rsid w:val="0063771A"/>
    <w:rsid w:val="00643040"/>
    <w:rsid w:val="006627CC"/>
    <w:rsid w:val="00664718"/>
    <w:rsid w:val="00665901"/>
    <w:rsid w:val="006765DA"/>
    <w:rsid w:val="006803E6"/>
    <w:rsid w:val="0069536D"/>
    <w:rsid w:val="006A0A8C"/>
    <w:rsid w:val="006B0DCD"/>
    <w:rsid w:val="00701E9A"/>
    <w:rsid w:val="00724A3F"/>
    <w:rsid w:val="0073338F"/>
    <w:rsid w:val="00750CD7"/>
    <w:rsid w:val="007637D5"/>
    <w:rsid w:val="00774A20"/>
    <w:rsid w:val="007C1EAA"/>
    <w:rsid w:val="007E10BE"/>
    <w:rsid w:val="007F0E7A"/>
    <w:rsid w:val="00811294"/>
    <w:rsid w:val="00814765"/>
    <w:rsid w:val="00814CCA"/>
    <w:rsid w:val="008368BE"/>
    <w:rsid w:val="008558D4"/>
    <w:rsid w:val="0086205D"/>
    <w:rsid w:val="008C68F5"/>
    <w:rsid w:val="008C69EE"/>
    <w:rsid w:val="008C77A6"/>
    <w:rsid w:val="008D21D0"/>
    <w:rsid w:val="008D5414"/>
    <w:rsid w:val="008E6C75"/>
    <w:rsid w:val="00922A15"/>
    <w:rsid w:val="009655EA"/>
    <w:rsid w:val="00965DB2"/>
    <w:rsid w:val="009A4174"/>
    <w:rsid w:val="009B75B7"/>
    <w:rsid w:val="009C1647"/>
    <w:rsid w:val="009D05EF"/>
    <w:rsid w:val="009F7BDB"/>
    <w:rsid w:val="00A03DAB"/>
    <w:rsid w:val="00A06CE3"/>
    <w:rsid w:val="00A15868"/>
    <w:rsid w:val="00A33FD1"/>
    <w:rsid w:val="00A41977"/>
    <w:rsid w:val="00A4484A"/>
    <w:rsid w:val="00A547DE"/>
    <w:rsid w:val="00A7183B"/>
    <w:rsid w:val="00A748E0"/>
    <w:rsid w:val="00AA59E2"/>
    <w:rsid w:val="00AC3EF9"/>
    <w:rsid w:val="00AD35AA"/>
    <w:rsid w:val="00B05A1C"/>
    <w:rsid w:val="00B33EDC"/>
    <w:rsid w:val="00B41D89"/>
    <w:rsid w:val="00B5414F"/>
    <w:rsid w:val="00B734DA"/>
    <w:rsid w:val="00B8691D"/>
    <w:rsid w:val="00BA2368"/>
    <w:rsid w:val="00BA368D"/>
    <w:rsid w:val="00BA3872"/>
    <w:rsid w:val="00BB0F2D"/>
    <w:rsid w:val="00BC65E7"/>
    <w:rsid w:val="00BC662A"/>
    <w:rsid w:val="00BD1DAB"/>
    <w:rsid w:val="00BD2F98"/>
    <w:rsid w:val="00BF5D97"/>
    <w:rsid w:val="00C06ECF"/>
    <w:rsid w:val="00C15B29"/>
    <w:rsid w:val="00C468D2"/>
    <w:rsid w:val="00C46BCB"/>
    <w:rsid w:val="00C53086"/>
    <w:rsid w:val="00C6254C"/>
    <w:rsid w:val="00C872C2"/>
    <w:rsid w:val="00C97993"/>
    <w:rsid w:val="00CC0EB4"/>
    <w:rsid w:val="00CC1E19"/>
    <w:rsid w:val="00CE65E6"/>
    <w:rsid w:val="00CF286D"/>
    <w:rsid w:val="00CF6141"/>
    <w:rsid w:val="00D03475"/>
    <w:rsid w:val="00D05D3E"/>
    <w:rsid w:val="00D15717"/>
    <w:rsid w:val="00D225F4"/>
    <w:rsid w:val="00D23BE1"/>
    <w:rsid w:val="00D4133D"/>
    <w:rsid w:val="00D53D25"/>
    <w:rsid w:val="00D71D66"/>
    <w:rsid w:val="00D77419"/>
    <w:rsid w:val="00D832C0"/>
    <w:rsid w:val="00D931CD"/>
    <w:rsid w:val="00D95A54"/>
    <w:rsid w:val="00DC67D1"/>
    <w:rsid w:val="00DD240B"/>
    <w:rsid w:val="00DE270C"/>
    <w:rsid w:val="00DE46C2"/>
    <w:rsid w:val="00DE78B6"/>
    <w:rsid w:val="00E02AB8"/>
    <w:rsid w:val="00E118AB"/>
    <w:rsid w:val="00E25B2F"/>
    <w:rsid w:val="00E37421"/>
    <w:rsid w:val="00E51C4E"/>
    <w:rsid w:val="00E544A5"/>
    <w:rsid w:val="00E61F9A"/>
    <w:rsid w:val="00E74F76"/>
    <w:rsid w:val="00E75793"/>
    <w:rsid w:val="00E75DAB"/>
    <w:rsid w:val="00E77C8E"/>
    <w:rsid w:val="00EA4FA5"/>
    <w:rsid w:val="00EC4EBC"/>
    <w:rsid w:val="00ED5A03"/>
    <w:rsid w:val="00ED7205"/>
    <w:rsid w:val="00EE0B1F"/>
    <w:rsid w:val="00F0609F"/>
    <w:rsid w:val="00F14643"/>
    <w:rsid w:val="00F154FB"/>
    <w:rsid w:val="00F467FC"/>
    <w:rsid w:val="00F65D56"/>
    <w:rsid w:val="00F75620"/>
    <w:rsid w:val="00FC0513"/>
    <w:rsid w:val="00FC47F0"/>
    <w:rsid w:val="00FD3B75"/>
    <w:rsid w:val="00FD4A29"/>
    <w:rsid w:val="00FE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 w:type="paragraph" w:customStyle="1" w:styleId="ConsPlusNormal">
    <w:name w:val="ConsPlusNormal"/>
    <w:rsid w:val="00AD35AA"/>
    <w:pPr>
      <w:autoSpaceDE w:val="0"/>
      <w:autoSpaceDN w:val="0"/>
      <w:adjustRightInd w:val="0"/>
      <w:spacing w:before="0"/>
      <w:ind w:left="0" w:right="0"/>
      <w:jc w:val="left"/>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A391-A05F-44EF-AFCF-449CE4A5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122</cp:revision>
  <cp:lastPrinted>2017-05-31T12:16:00Z</cp:lastPrinted>
  <dcterms:created xsi:type="dcterms:W3CDTF">2017-05-24T09:22:00Z</dcterms:created>
  <dcterms:modified xsi:type="dcterms:W3CDTF">2019-03-19T05:56:00Z</dcterms:modified>
</cp:coreProperties>
</file>